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3413" w:rsidRDefault="00FD3413" w:rsidP="00FB7E02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REVIEW JURNAL INTERNASIONAL ETIKA PELAYANAN</w:t>
      </w:r>
    </w:p>
    <w:p w:rsidR="00FD3413" w:rsidRDefault="00FD3413" w:rsidP="00520652">
      <w:pPr>
        <w:spacing w:line="360" w:lineRule="auto"/>
        <w:jc w:val="center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07"/>
        <w:gridCol w:w="6443"/>
      </w:tblGrid>
      <w:tr w:rsidR="00FD3413" w:rsidTr="004234D0">
        <w:tc>
          <w:tcPr>
            <w:tcW w:w="3145" w:type="dxa"/>
          </w:tcPr>
          <w:p w:rsidR="00FD3413" w:rsidRPr="002E54C0" w:rsidRDefault="00FD3413" w:rsidP="0052065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Judul</w:t>
            </w:r>
            <w:proofErr w:type="spellEnd"/>
          </w:p>
        </w:tc>
        <w:tc>
          <w:tcPr>
            <w:tcW w:w="6205" w:type="dxa"/>
          </w:tcPr>
          <w:p w:rsidR="00FD3413" w:rsidRDefault="00FD3413" w:rsidP="00520652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ETHICS OF ARCHIVAL PRACTICE: NEW CONSIDERATIONS IN THE DIGITAL AGE</w:t>
            </w:r>
          </w:p>
          <w:p w:rsidR="00FD3413" w:rsidRPr="00E07BD3" w:rsidRDefault="00FD3413" w:rsidP="00520652">
            <w:pPr>
              <w:spacing w:line="360" w:lineRule="auto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hyperlink r:id="rId4" w:history="1">
              <w:r w:rsidRPr="00FD3413">
                <w:rPr>
                  <w:rStyle w:val="Hyperlink"/>
                  <w:rFonts w:asciiTheme="majorBidi" w:hAnsiTheme="majorBidi" w:cstheme="majorBidi"/>
                  <w:b/>
                  <w:bCs/>
                  <w:sz w:val="24"/>
                  <w:szCs w:val="24"/>
                </w:rPr>
                <w:t>https://archivaria.ca/index.php/archivaria/article/view/13634</w:t>
              </w:r>
            </w:hyperlink>
          </w:p>
        </w:tc>
      </w:tr>
      <w:tr w:rsidR="00FD3413" w:rsidTr="004234D0">
        <w:tc>
          <w:tcPr>
            <w:tcW w:w="3145" w:type="dxa"/>
          </w:tcPr>
          <w:p w:rsidR="00FD3413" w:rsidRPr="002E54C0" w:rsidRDefault="00FD3413" w:rsidP="0052065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Volume &amp;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Halaman</w:t>
            </w:r>
            <w:proofErr w:type="spellEnd"/>
          </w:p>
        </w:tc>
        <w:tc>
          <w:tcPr>
            <w:tcW w:w="6205" w:type="dxa"/>
          </w:tcPr>
          <w:p w:rsidR="00FD3413" w:rsidRDefault="00FD3413" w:rsidP="0052065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Volume/ number 85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24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halaman</w:t>
            </w:r>
            <w:proofErr w:type="spellEnd"/>
          </w:p>
        </w:tc>
      </w:tr>
      <w:tr w:rsidR="00FD3413" w:rsidTr="004234D0">
        <w:tc>
          <w:tcPr>
            <w:tcW w:w="3145" w:type="dxa"/>
          </w:tcPr>
          <w:p w:rsidR="00FD3413" w:rsidRDefault="00FD3413" w:rsidP="0052065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Tahun</w:t>
            </w:r>
            <w:proofErr w:type="spellEnd"/>
          </w:p>
        </w:tc>
        <w:tc>
          <w:tcPr>
            <w:tcW w:w="6205" w:type="dxa"/>
          </w:tcPr>
          <w:p w:rsidR="00FD3413" w:rsidRDefault="00FD3413" w:rsidP="0052065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Mei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, 2018</w:t>
            </w:r>
          </w:p>
        </w:tc>
      </w:tr>
      <w:tr w:rsidR="00FD3413" w:rsidTr="004234D0">
        <w:tc>
          <w:tcPr>
            <w:tcW w:w="3145" w:type="dxa"/>
          </w:tcPr>
          <w:p w:rsidR="00FD3413" w:rsidRDefault="00FD3413" w:rsidP="0052065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Penulis</w:t>
            </w:r>
            <w:proofErr w:type="spellEnd"/>
          </w:p>
        </w:tc>
        <w:tc>
          <w:tcPr>
            <w:tcW w:w="6205" w:type="dxa"/>
          </w:tcPr>
          <w:p w:rsidR="00FD3413" w:rsidRDefault="00FD3413" w:rsidP="0052065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Alyssa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Hamer</w:t>
            </w:r>
            <w:proofErr w:type="spellEnd"/>
          </w:p>
        </w:tc>
      </w:tr>
      <w:tr w:rsidR="00FD3413" w:rsidTr="004234D0">
        <w:tc>
          <w:tcPr>
            <w:tcW w:w="3145" w:type="dxa"/>
          </w:tcPr>
          <w:p w:rsidR="00FD3413" w:rsidRDefault="00FD3413" w:rsidP="0052065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Reviewer</w:t>
            </w:r>
          </w:p>
        </w:tc>
        <w:tc>
          <w:tcPr>
            <w:tcW w:w="6205" w:type="dxa"/>
          </w:tcPr>
          <w:p w:rsidR="00FD3413" w:rsidRPr="00466EA9" w:rsidRDefault="00FD3413" w:rsidP="0052065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Venina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Bayu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Ruthantien (071911633013)</w:t>
            </w:r>
          </w:p>
        </w:tc>
      </w:tr>
    </w:tbl>
    <w:p w:rsidR="00FD3413" w:rsidRDefault="00FD3413" w:rsidP="0052065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  <w:gridCol w:w="6205"/>
      </w:tblGrid>
      <w:tr w:rsidR="00FD3413" w:rsidTr="004234D0">
        <w:tc>
          <w:tcPr>
            <w:tcW w:w="3145" w:type="dxa"/>
          </w:tcPr>
          <w:p w:rsidR="00FD3413" w:rsidRDefault="00FD3413" w:rsidP="0052065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Latar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Belakang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6205" w:type="dxa"/>
          </w:tcPr>
          <w:p w:rsidR="00FD3413" w:rsidRDefault="00FD3413" w:rsidP="0052065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Profesi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arsiparis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kearsipan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akhirnya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dapat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menerima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sifat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etis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peke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sz w:val="24"/>
                <w:szCs w:val="24"/>
              </w:rPr>
              <w:t>rjaan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profesional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dilakukannya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etik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profesional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tersebut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ditulis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kemudian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dilupakan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demi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pendekatan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kelembagaan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individu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Namun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akhir-akhir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isu-isu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etika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telah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menjadi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fokus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sekali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lagi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: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kita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telah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bergeser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dunia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mana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etika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kearsipan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berpusat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“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kelengkapan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ketersediaan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catatan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sejarah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”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ke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dunia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mana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arsiparis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sekarang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harus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“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peduli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akuntabilitas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layanan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publik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kebahagiaan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pengguna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”.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Menurut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pakar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arsip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Richard J. Cox,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kode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etik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profesional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umumnya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lemah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menginggalkan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arsiparis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individu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memilah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rasa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moralitas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pribadinya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sendiri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Oleh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karena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itu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kebutuhan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memperkuatnya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karena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pergeseran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telah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memperbesar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masalah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etika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hanya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memperluas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cakupan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dilakukan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arsiparis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tetapi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juga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siapa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520652">
              <w:rPr>
                <w:rFonts w:asciiTheme="majorBidi" w:hAnsiTheme="majorBidi" w:cstheme="majorBidi"/>
                <w:sz w:val="24"/>
                <w:szCs w:val="24"/>
              </w:rPr>
              <w:t>melihatnya</w:t>
            </w:r>
            <w:proofErr w:type="spellEnd"/>
            <w:r w:rsidR="00520652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  <w:p w:rsidR="00841EFA" w:rsidRDefault="00841EFA" w:rsidP="0052065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20652" w:rsidRDefault="00520652" w:rsidP="0052065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Seiring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perkembangan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teknologi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</w:t>
            </w:r>
            <w:r w:rsidR="00B05131">
              <w:rPr>
                <w:rFonts w:asciiTheme="majorBidi" w:hAnsiTheme="majorBidi" w:cstheme="majorBidi"/>
                <w:sz w:val="24"/>
                <w:szCs w:val="24"/>
              </w:rPr>
              <w:t>formasi</w:t>
            </w:r>
            <w:proofErr w:type="spellEnd"/>
            <w:r w:rsidR="00B05131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B05131">
              <w:rPr>
                <w:rFonts w:asciiTheme="majorBidi" w:hAnsiTheme="majorBidi" w:cstheme="majorBidi"/>
                <w:sz w:val="24"/>
                <w:szCs w:val="24"/>
              </w:rPr>
              <w:t>bahan</w:t>
            </w:r>
            <w:proofErr w:type="spellEnd"/>
            <w:r w:rsidR="00B0513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05131">
              <w:rPr>
                <w:rFonts w:asciiTheme="majorBidi" w:hAnsiTheme="majorBidi" w:cstheme="majorBidi"/>
                <w:sz w:val="24"/>
                <w:szCs w:val="24"/>
              </w:rPr>
              <w:t>arsip</w:t>
            </w:r>
            <w:proofErr w:type="spellEnd"/>
            <w:r w:rsidR="00B0513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05131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="00B0513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sebuah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bangunan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namun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juga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tersedia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online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melalui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portal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repository digital.</w:t>
            </w:r>
            <w:r w:rsidR="00B0513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05131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Oleh</w:t>
            </w:r>
            <w:proofErr w:type="spellEnd"/>
            <w:r w:rsidR="00B0513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05131">
              <w:rPr>
                <w:rFonts w:asciiTheme="majorBidi" w:hAnsiTheme="majorBidi" w:cstheme="majorBidi"/>
                <w:sz w:val="24"/>
                <w:szCs w:val="24"/>
              </w:rPr>
              <w:t>karena</w:t>
            </w:r>
            <w:proofErr w:type="spellEnd"/>
            <w:r w:rsidR="00B0513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05131">
              <w:rPr>
                <w:rFonts w:asciiTheme="majorBidi" w:hAnsiTheme="majorBidi" w:cstheme="majorBidi"/>
                <w:sz w:val="24"/>
                <w:szCs w:val="24"/>
              </w:rPr>
              <w:t>adanya</w:t>
            </w:r>
            <w:proofErr w:type="spellEnd"/>
            <w:r w:rsidR="00B0513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05131">
              <w:rPr>
                <w:rFonts w:asciiTheme="majorBidi" w:hAnsiTheme="majorBidi" w:cstheme="majorBidi"/>
                <w:sz w:val="24"/>
                <w:szCs w:val="24"/>
              </w:rPr>
              <w:t>kehadiran</w:t>
            </w:r>
            <w:proofErr w:type="spellEnd"/>
            <w:r w:rsidR="00B0513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05131">
              <w:rPr>
                <w:rFonts w:asciiTheme="majorBidi" w:hAnsiTheme="majorBidi" w:cstheme="majorBidi"/>
                <w:sz w:val="24"/>
                <w:szCs w:val="24"/>
              </w:rPr>
              <w:t>materi</w:t>
            </w:r>
            <w:proofErr w:type="spellEnd"/>
            <w:r w:rsidR="00B0513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05131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="00B0513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05131">
              <w:rPr>
                <w:rFonts w:asciiTheme="majorBidi" w:hAnsiTheme="majorBidi" w:cstheme="majorBidi"/>
                <w:sz w:val="24"/>
                <w:szCs w:val="24"/>
              </w:rPr>
              <w:t>bahan</w:t>
            </w:r>
            <w:proofErr w:type="spellEnd"/>
            <w:r w:rsidR="00B05131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="00B05131">
              <w:rPr>
                <w:rFonts w:asciiTheme="majorBidi" w:hAnsiTheme="majorBidi" w:cstheme="majorBidi"/>
                <w:sz w:val="24"/>
                <w:szCs w:val="24"/>
              </w:rPr>
              <w:t>itu</w:t>
            </w:r>
            <w:proofErr w:type="spellEnd"/>
            <w:r w:rsidR="00B0513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05131">
              <w:rPr>
                <w:rFonts w:asciiTheme="majorBidi" w:hAnsiTheme="majorBidi" w:cstheme="majorBidi"/>
                <w:sz w:val="24"/>
                <w:szCs w:val="24"/>
              </w:rPr>
              <w:t>juga</w:t>
            </w:r>
            <w:proofErr w:type="spellEnd"/>
            <w:r w:rsidR="00B0513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05131">
              <w:rPr>
                <w:rFonts w:asciiTheme="majorBidi" w:hAnsiTheme="majorBidi" w:cstheme="majorBidi"/>
                <w:sz w:val="24"/>
                <w:szCs w:val="24"/>
              </w:rPr>
              <w:t>arsiparis</w:t>
            </w:r>
            <w:proofErr w:type="spellEnd"/>
            <w:r w:rsidR="00B0513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05131">
              <w:rPr>
                <w:rFonts w:asciiTheme="majorBidi" w:hAnsiTheme="majorBidi" w:cstheme="majorBidi"/>
                <w:sz w:val="24"/>
                <w:szCs w:val="24"/>
              </w:rPr>
              <w:t>harus</w:t>
            </w:r>
            <w:proofErr w:type="spellEnd"/>
            <w:r w:rsidR="00B0513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05131">
              <w:rPr>
                <w:rFonts w:asciiTheme="majorBidi" w:hAnsiTheme="majorBidi" w:cstheme="majorBidi"/>
                <w:sz w:val="24"/>
                <w:szCs w:val="24"/>
              </w:rPr>
              <w:t>memiliki</w:t>
            </w:r>
            <w:proofErr w:type="spellEnd"/>
            <w:r w:rsidR="00B0513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05131">
              <w:rPr>
                <w:rFonts w:asciiTheme="majorBidi" w:hAnsiTheme="majorBidi" w:cstheme="majorBidi"/>
                <w:sz w:val="24"/>
                <w:szCs w:val="24"/>
              </w:rPr>
              <w:t>pemahaman</w:t>
            </w:r>
            <w:proofErr w:type="spellEnd"/>
            <w:r w:rsidR="00B05131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B05131">
              <w:rPr>
                <w:rFonts w:asciiTheme="majorBidi" w:hAnsiTheme="majorBidi" w:cstheme="majorBidi"/>
                <w:sz w:val="24"/>
                <w:szCs w:val="24"/>
              </w:rPr>
              <w:t>lebih</w:t>
            </w:r>
            <w:proofErr w:type="spellEnd"/>
            <w:r w:rsidR="00B05131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05131">
              <w:rPr>
                <w:rFonts w:asciiTheme="majorBidi" w:hAnsiTheme="majorBidi" w:cstheme="majorBidi"/>
                <w:sz w:val="24"/>
                <w:szCs w:val="24"/>
              </w:rPr>
              <w:t>luas</w:t>
            </w:r>
            <w:proofErr w:type="spellEnd"/>
            <w:r w:rsidR="00BA5D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A5D5D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BA5D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A5D5D">
              <w:rPr>
                <w:rFonts w:asciiTheme="majorBidi" w:hAnsiTheme="majorBidi" w:cstheme="majorBidi"/>
                <w:sz w:val="24"/>
                <w:szCs w:val="24"/>
              </w:rPr>
              <w:t>keputusan</w:t>
            </w:r>
            <w:proofErr w:type="spellEnd"/>
            <w:r w:rsidR="00BA5D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A5D5D">
              <w:rPr>
                <w:rFonts w:asciiTheme="majorBidi" w:hAnsiTheme="majorBidi" w:cstheme="majorBidi"/>
                <w:sz w:val="24"/>
                <w:szCs w:val="24"/>
              </w:rPr>
              <w:t>etiks</w:t>
            </w:r>
            <w:proofErr w:type="spellEnd"/>
            <w:r w:rsidR="00BA5D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A5D5D">
              <w:rPr>
                <w:rFonts w:asciiTheme="majorBidi" w:hAnsiTheme="majorBidi" w:cstheme="majorBidi"/>
                <w:sz w:val="24"/>
                <w:szCs w:val="24"/>
              </w:rPr>
              <w:t>juga</w:t>
            </w:r>
            <w:proofErr w:type="spellEnd"/>
            <w:r w:rsidR="00BA5D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A5D5D">
              <w:rPr>
                <w:rFonts w:asciiTheme="majorBidi" w:hAnsiTheme="majorBidi" w:cstheme="majorBidi"/>
                <w:sz w:val="24"/>
                <w:szCs w:val="24"/>
              </w:rPr>
              <w:t>harus</w:t>
            </w:r>
            <w:proofErr w:type="spellEnd"/>
            <w:r w:rsidR="00BA5D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A5D5D">
              <w:rPr>
                <w:rFonts w:asciiTheme="majorBidi" w:hAnsiTheme="majorBidi" w:cstheme="majorBidi"/>
                <w:sz w:val="24"/>
                <w:szCs w:val="24"/>
              </w:rPr>
              <w:t>dibuat</w:t>
            </w:r>
            <w:proofErr w:type="spellEnd"/>
            <w:r w:rsidR="00BA5D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A5D5D"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 w:rsidR="00BA5D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A5D5D">
              <w:rPr>
                <w:rFonts w:asciiTheme="majorBidi" w:hAnsiTheme="majorBidi" w:cstheme="majorBidi"/>
                <w:sz w:val="24"/>
                <w:szCs w:val="24"/>
              </w:rPr>
              <w:t>lebih</w:t>
            </w:r>
            <w:proofErr w:type="spellEnd"/>
            <w:r w:rsidR="00BA5D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A5D5D">
              <w:rPr>
                <w:rFonts w:asciiTheme="majorBidi" w:hAnsiTheme="majorBidi" w:cstheme="majorBidi"/>
                <w:sz w:val="24"/>
                <w:szCs w:val="24"/>
              </w:rPr>
              <w:t>teratur</w:t>
            </w:r>
            <w:proofErr w:type="spellEnd"/>
            <w:r w:rsidR="00BA5D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A5D5D">
              <w:rPr>
                <w:rFonts w:asciiTheme="majorBidi" w:hAnsiTheme="majorBidi" w:cstheme="majorBidi"/>
                <w:sz w:val="24"/>
                <w:szCs w:val="24"/>
              </w:rPr>
              <w:t>daripada</w:t>
            </w:r>
            <w:proofErr w:type="spellEnd"/>
            <w:r w:rsidR="00BA5D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A5D5D">
              <w:rPr>
                <w:rFonts w:asciiTheme="majorBidi" w:hAnsiTheme="majorBidi" w:cstheme="majorBidi"/>
                <w:sz w:val="24"/>
                <w:szCs w:val="24"/>
              </w:rPr>
              <w:t>sebelumnya</w:t>
            </w:r>
            <w:proofErr w:type="spellEnd"/>
            <w:r w:rsidR="00BA5D5D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D3413" w:rsidTr="004234D0">
        <w:tc>
          <w:tcPr>
            <w:tcW w:w="3145" w:type="dxa"/>
          </w:tcPr>
          <w:p w:rsidR="00FD3413" w:rsidRDefault="00FD3413" w:rsidP="0052065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Fokus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Masalah</w:t>
            </w:r>
            <w:proofErr w:type="spellEnd"/>
          </w:p>
        </w:tc>
        <w:tc>
          <w:tcPr>
            <w:tcW w:w="6205" w:type="dxa"/>
          </w:tcPr>
          <w:p w:rsidR="00FD3413" w:rsidRPr="004F2FAB" w:rsidRDefault="00FD3413" w:rsidP="0052065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Berdasarkan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latar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belakang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diatas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fokus</w:t>
            </w:r>
            <w:proofErr w:type="spellEnd"/>
            <w:r w:rsidRPr="004F2FA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Pr="004F2FAB">
              <w:rPr>
                <w:rFonts w:asciiTheme="majorBidi" w:hAnsiTheme="majorBidi" w:cstheme="majorBidi"/>
                <w:sz w:val="24"/>
                <w:szCs w:val="24"/>
              </w:rPr>
              <w:t>mas</w:t>
            </w:r>
            <w:r w:rsidR="00BA5D5D">
              <w:rPr>
                <w:rFonts w:asciiTheme="majorBidi" w:hAnsiTheme="majorBidi" w:cstheme="majorBidi"/>
                <w:sz w:val="24"/>
                <w:szCs w:val="24"/>
              </w:rPr>
              <w:t>alah</w:t>
            </w:r>
            <w:proofErr w:type="spellEnd"/>
            <w:r w:rsidR="00BA5D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A5D5D"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 w:rsidR="00BA5D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A5D5D">
              <w:rPr>
                <w:rFonts w:asciiTheme="majorBidi" w:hAnsiTheme="majorBidi" w:cstheme="majorBidi"/>
                <w:sz w:val="24"/>
                <w:szCs w:val="24"/>
              </w:rPr>
              <w:t>artikel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yaitu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ten</w:t>
            </w:r>
            <w:r w:rsidR="00BA5D5D">
              <w:rPr>
                <w:rFonts w:asciiTheme="majorBidi" w:hAnsiTheme="majorBidi" w:cstheme="majorBidi"/>
                <w:sz w:val="24"/>
                <w:szCs w:val="24"/>
              </w:rPr>
              <w:t>tang</w:t>
            </w:r>
            <w:proofErr w:type="spellEnd"/>
            <w:r w:rsidR="00BA5D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A5D5D">
              <w:rPr>
                <w:rFonts w:asciiTheme="majorBidi" w:hAnsiTheme="majorBidi" w:cstheme="majorBidi"/>
                <w:sz w:val="24"/>
                <w:szCs w:val="24"/>
              </w:rPr>
              <w:t>pergeseran</w:t>
            </w:r>
            <w:proofErr w:type="spellEnd"/>
            <w:r w:rsidR="00BA5D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A5D5D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="00BA5D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BA5D5D">
              <w:rPr>
                <w:rFonts w:asciiTheme="majorBidi" w:hAnsiTheme="majorBidi" w:cstheme="majorBidi"/>
                <w:sz w:val="24"/>
                <w:szCs w:val="24"/>
              </w:rPr>
              <w:t>perkembangan</w:t>
            </w:r>
            <w:proofErr w:type="spellEnd"/>
            <w:r w:rsidR="00BA5D5D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digital,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segi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fungsi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kearsipan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berhubungan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pengelolaan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arsip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digital,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maupun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isu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lebih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luas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mengenai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akuntabilitas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pemerintah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privasi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big data,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pengarsipan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skala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besar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dampak-dampak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ditimbulkan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oleh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pembuatan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pengelolaan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catatan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digital,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pengaruh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pendekatan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tradisional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seleksi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pelestarian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akses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  <w:tr w:rsidR="00FD3413" w:rsidTr="004234D0">
        <w:tc>
          <w:tcPr>
            <w:tcW w:w="3145" w:type="dxa"/>
          </w:tcPr>
          <w:p w:rsidR="00FD3413" w:rsidRDefault="00FD3413" w:rsidP="0052065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Teori</w:t>
            </w:r>
            <w:proofErr w:type="spellEnd"/>
          </w:p>
        </w:tc>
        <w:tc>
          <w:tcPr>
            <w:tcW w:w="6205" w:type="dxa"/>
          </w:tcPr>
          <w:p w:rsidR="00FD3413" w:rsidRPr="00924F58" w:rsidRDefault="00CF7785" w:rsidP="0018007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penelitian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metode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kualitatif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karena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artikel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bersifat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deskriptif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cenderung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analisis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Penulis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lebih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banyak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menggambarkan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menganalisis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sebuah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kondisi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situasi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dijadikan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topik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pembahasan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pengambilan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data,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penulis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menggunakan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observasi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langsung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terhadap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etik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di era digital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khususnya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arsiparis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melaksanakan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etik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profesionalnya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</w:t>
            </w:r>
            <w:r w:rsidR="0018007B">
              <w:rPr>
                <w:rFonts w:asciiTheme="majorBidi" w:hAnsiTheme="majorBidi" w:cstheme="majorBidi"/>
                <w:sz w:val="24"/>
                <w:szCs w:val="24"/>
              </w:rPr>
              <w:t>iteratur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digunakan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antara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lain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tulisan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pakar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arsip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Richard J. Cox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etika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arsip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Michael Cook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etika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praktik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profesional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manajemen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arsip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18007B">
              <w:rPr>
                <w:rFonts w:asciiTheme="majorBidi" w:hAnsiTheme="majorBidi" w:cstheme="majorBidi"/>
                <w:sz w:val="24"/>
                <w:szCs w:val="24"/>
              </w:rPr>
              <w:t xml:space="preserve">Paul Conway </w:t>
            </w:r>
            <w:proofErr w:type="spellStart"/>
            <w:r w:rsidR="0018007B">
              <w:rPr>
                <w:rFonts w:asciiTheme="majorBidi" w:hAnsiTheme="majorBidi" w:cstheme="majorBidi"/>
                <w:sz w:val="24"/>
                <w:szCs w:val="24"/>
              </w:rPr>
              <w:t>tentang</w:t>
            </w:r>
            <w:proofErr w:type="spellEnd"/>
            <w:r w:rsidR="0018007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8007B">
              <w:rPr>
                <w:rFonts w:asciiTheme="majorBidi" w:hAnsiTheme="majorBidi" w:cstheme="majorBidi"/>
                <w:sz w:val="24"/>
                <w:szCs w:val="24"/>
              </w:rPr>
              <w:t>pelestarian</w:t>
            </w:r>
            <w:proofErr w:type="spellEnd"/>
            <w:r w:rsidR="0018007B">
              <w:rPr>
                <w:rFonts w:asciiTheme="majorBidi" w:hAnsiTheme="majorBidi" w:cstheme="majorBidi"/>
                <w:sz w:val="24"/>
                <w:szCs w:val="24"/>
              </w:rPr>
              <w:t xml:space="preserve"> di era </w:t>
            </w:r>
            <w:proofErr w:type="spellStart"/>
            <w:r w:rsidR="0018007B">
              <w:rPr>
                <w:rFonts w:asciiTheme="majorBidi" w:hAnsiTheme="majorBidi" w:cstheme="majorBidi"/>
                <w:sz w:val="24"/>
                <w:szCs w:val="24"/>
              </w:rPr>
              <w:t>digitalisasi</w:t>
            </w:r>
            <w:proofErr w:type="spellEnd"/>
            <w:r w:rsidR="0018007B">
              <w:rPr>
                <w:rFonts w:asciiTheme="majorBidi" w:hAnsiTheme="majorBidi" w:cstheme="majorBidi"/>
                <w:sz w:val="24"/>
                <w:szCs w:val="24"/>
              </w:rPr>
              <w:t xml:space="preserve">, Kate Hennessy </w:t>
            </w:r>
            <w:proofErr w:type="spellStart"/>
            <w:r w:rsidR="0018007B">
              <w:rPr>
                <w:rFonts w:asciiTheme="majorBidi" w:hAnsiTheme="majorBidi" w:cstheme="majorBidi"/>
                <w:sz w:val="24"/>
                <w:szCs w:val="24"/>
              </w:rPr>
              <w:t>tentang</w:t>
            </w:r>
            <w:proofErr w:type="spellEnd"/>
            <w:r w:rsidR="0018007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8007B">
              <w:rPr>
                <w:rFonts w:asciiTheme="majorBidi" w:hAnsiTheme="majorBidi" w:cstheme="majorBidi"/>
                <w:sz w:val="24"/>
                <w:szCs w:val="24"/>
              </w:rPr>
              <w:t>etika</w:t>
            </w:r>
            <w:proofErr w:type="spellEnd"/>
            <w:r w:rsidR="0018007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8007B">
              <w:rPr>
                <w:rFonts w:asciiTheme="majorBidi" w:hAnsiTheme="majorBidi" w:cstheme="majorBidi"/>
                <w:sz w:val="24"/>
                <w:szCs w:val="24"/>
              </w:rPr>
              <w:t>mengelola</w:t>
            </w:r>
            <w:proofErr w:type="spellEnd"/>
            <w:r w:rsidR="0018007B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18007B">
              <w:rPr>
                <w:rFonts w:asciiTheme="majorBidi" w:hAnsiTheme="majorBidi" w:cstheme="majorBidi"/>
                <w:sz w:val="24"/>
                <w:szCs w:val="24"/>
              </w:rPr>
              <w:t>koleksi</w:t>
            </w:r>
            <w:proofErr w:type="spellEnd"/>
            <w:r w:rsidR="0018007B">
              <w:rPr>
                <w:rFonts w:asciiTheme="majorBidi" w:hAnsiTheme="majorBidi" w:cstheme="majorBidi"/>
                <w:sz w:val="24"/>
                <w:szCs w:val="24"/>
              </w:rPr>
              <w:t xml:space="preserve"> digital, 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Society of American Archivist (SAA)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etik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arsiparis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r w:rsidR="0018007B" w:rsidRPr="0018007B">
              <w:rPr>
                <w:rFonts w:asciiTheme="majorBidi" w:hAnsiTheme="majorBidi" w:cstheme="majorBidi"/>
                <w:sz w:val="24"/>
                <w:szCs w:val="24"/>
              </w:rPr>
              <w:t>Council of Archives (ICA)</w:t>
            </w:r>
            <w:r w:rsidR="0018007B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18007B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18007B">
              <w:rPr>
                <w:rFonts w:asciiTheme="majorBidi" w:hAnsiTheme="majorBidi" w:cstheme="majorBidi"/>
                <w:sz w:val="24"/>
                <w:szCs w:val="24"/>
              </w:rPr>
              <w:t xml:space="preserve"> Association of Canadian Archivists (ACA).</w:t>
            </w:r>
          </w:p>
        </w:tc>
      </w:tr>
      <w:tr w:rsidR="00FD3413" w:rsidTr="004234D0">
        <w:tc>
          <w:tcPr>
            <w:tcW w:w="3145" w:type="dxa"/>
          </w:tcPr>
          <w:p w:rsidR="00FD3413" w:rsidRDefault="00FD3413" w:rsidP="0052065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Hasil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Analisa</w:t>
            </w:r>
            <w:proofErr w:type="spellEnd"/>
          </w:p>
        </w:tc>
        <w:tc>
          <w:tcPr>
            <w:tcW w:w="6205" w:type="dxa"/>
          </w:tcPr>
          <w:p w:rsidR="00FD3413" w:rsidRDefault="0018007B" w:rsidP="0018007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Arsiparis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harus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melakukan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pekerjaan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penilaian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seleksi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deskripsi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sambil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mempertahankan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prinsip-prinsip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asalnya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memastikan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hubungan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as</w:t>
            </w:r>
            <w:r w:rsidR="00841EFA">
              <w:rPr>
                <w:rFonts w:asciiTheme="majorBidi" w:hAnsiTheme="majorBidi" w:cstheme="majorBidi"/>
                <w:sz w:val="24"/>
                <w:szCs w:val="24"/>
              </w:rPr>
              <w:t>li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antara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dokumen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menjadi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jelas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Dokumen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tersebut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membahas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tantangan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terkadang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berlawanan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harapan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ditetapkan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oleh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lembaga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pemerintah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ketika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mengakuti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arsiparis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bertanggung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jawab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menyeimbangkan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“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hak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kepentingan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sah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tetapi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terkadang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bertentangan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kepentingan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pemberi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kerja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pemilik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subjek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data,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pengguna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, masa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lalu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sekarang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masa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depan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”. Hal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itu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keseimbangan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bagus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dikelola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oleh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para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arsiparis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apalagi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di era digital. ICA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mengalami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kegagalan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mengatasi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pergeseran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pembuatan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pelestarian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catatan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modern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dokumen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arahan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strategis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2008-2018.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Dokumen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dihasilkan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ICA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selanjutnya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membahas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tentang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kompleksitas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melekat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pengaturan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deskripsi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pelestarian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akses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ke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catatan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digital.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Berdasarkan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dokumen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tersebut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diakui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bahwa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arsiparis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perlu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mengambil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langkah-langkah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melindungi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catatan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khurus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mengakui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pentingnya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bekerja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sama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menginformasikan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tindakan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keputusan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lebih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841EFA">
              <w:rPr>
                <w:rFonts w:asciiTheme="majorBidi" w:hAnsiTheme="majorBidi" w:cstheme="majorBidi"/>
                <w:sz w:val="24"/>
                <w:szCs w:val="24"/>
              </w:rPr>
              <w:t>baik</w:t>
            </w:r>
            <w:proofErr w:type="spellEnd"/>
            <w:r w:rsidR="00841EFA"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  <w:p w:rsidR="00841EFA" w:rsidRDefault="00841EFA" w:rsidP="0018007B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5B5D80" w:rsidRDefault="00841EFA" w:rsidP="005B5D80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artikel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juga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membahas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masalah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etika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muncul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dihadapi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arsiparis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pemrosesan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pelestarian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penyediaan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akses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catatan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digital.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Beberapa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pertimbangan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etis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dihadapi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arsiparis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ketika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beruusan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</w:t>
            </w:r>
            <w:r w:rsidR="006E5404">
              <w:rPr>
                <w:rFonts w:asciiTheme="majorBidi" w:hAnsiTheme="majorBidi" w:cstheme="majorBidi"/>
                <w:sz w:val="24"/>
                <w:szCs w:val="24"/>
              </w:rPr>
              <w:t>ngan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catatan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yaitu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tentang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pembuatan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rekaman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pemilihan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pelestarian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akuntabilitas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pemerintah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privasi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, data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besar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pengarsipan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skala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besar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hak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akses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Disebutkan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juga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tentang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beberapa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kekhawatiran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Berger yang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dilustrasikan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melalui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tantangan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substansial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disajikan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kepada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profesional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arsip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saat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ini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baik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pelestarian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format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catatan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usang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maupun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penghapusan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pribadi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sensitif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mungkin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tetap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ada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sering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tidak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terdeteksi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catatan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digital.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sebagian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besar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lembaga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kearsipan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penangkapan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migrasi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catatan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usang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tetap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menjadi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satu-satunya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6E5404">
              <w:rPr>
                <w:rFonts w:asciiTheme="majorBidi" w:hAnsiTheme="majorBidi" w:cstheme="majorBidi"/>
                <w:sz w:val="24"/>
                <w:szCs w:val="24"/>
              </w:rPr>
              <w:t>pilihan</w:t>
            </w:r>
            <w:proofErr w:type="spellEnd"/>
            <w:r w:rsidR="006E5404">
              <w:rPr>
                <w:rFonts w:asciiTheme="majorBidi" w:hAnsiTheme="majorBidi" w:cstheme="majorBidi"/>
                <w:sz w:val="24"/>
                <w:szCs w:val="24"/>
              </w:rPr>
              <w:t>.</w:t>
            </w:r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hal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membersihkan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informasi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pribadi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juga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menjadi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tantangan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dihadapi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arsiparis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menyeimbangkan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nilai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akses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privasi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pengguna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Arsiparis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juga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memiliki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tugas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profesional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sebanyak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tugas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moral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atau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tanggungjawab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menyerukan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perilaku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ambigu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etis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oleh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badan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pemerintahan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tertinggi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melestarikan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integritas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catatan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5B5D80">
              <w:rPr>
                <w:rFonts w:asciiTheme="majorBidi" w:hAnsiTheme="majorBidi" w:cstheme="majorBidi"/>
                <w:sz w:val="24"/>
                <w:szCs w:val="24"/>
              </w:rPr>
              <w:t>sejarah</w:t>
            </w:r>
            <w:proofErr w:type="spellEnd"/>
            <w:r w:rsidR="005B5D80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 w:rsidR="00FB7E02">
              <w:rPr>
                <w:rFonts w:asciiTheme="majorBidi" w:hAnsiTheme="majorBidi" w:cstheme="majorBidi"/>
                <w:sz w:val="24"/>
                <w:szCs w:val="24"/>
              </w:rPr>
              <w:t>Arsiparis</w:t>
            </w:r>
            <w:proofErr w:type="spellEnd"/>
            <w:r w:rsidR="00FB7E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B7E02">
              <w:rPr>
                <w:rFonts w:asciiTheme="majorBidi" w:hAnsiTheme="majorBidi" w:cstheme="majorBidi"/>
                <w:sz w:val="24"/>
                <w:szCs w:val="24"/>
              </w:rPr>
              <w:t>juga</w:t>
            </w:r>
            <w:proofErr w:type="spellEnd"/>
            <w:r w:rsidR="00FB7E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B7E02">
              <w:rPr>
                <w:rFonts w:asciiTheme="majorBidi" w:hAnsiTheme="majorBidi" w:cstheme="majorBidi"/>
                <w:sz w:val="24"/>
                <w:szCs w:val="24"/>
              </w:rPr>
              <w:t>seharusnya</w:t>
            </w:r>
            <w:proofErr w:type="spellEnd"/>
            <w:r w:rsidR="00FB7E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B7E02">
              <w:rPr>
                <w:rFonts w:asciiTheme="majorBidi" w:hAnsiTheme="majorBidi" w:cstheme="majorBidi"/>
                <w:sz w:val="24"/>
                <w:szCs w:val="24"/>
              </w:rPr>
              <w:t>melakukan</w:t>
            </w:r>
            <w:proofErr w:type="spellEnd"/>
            <w:r w:rsidR="00FB7E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B7E02">
              <w:rPr>
                <w:rFonts w:asciiTheme="majorBidi" w:hAnsiTheme="majorBidi" w:cstheme="majorBidi"/>
                <w:sz w:val="24"/>
                <w:szCs w:val="24"/>
              </w:rPr>
              <w:t>kewajiban</w:t>
            </w:r>
            <w:proofErr w:type="spellEnd"/>
            <w:r w:rsidR="00FB7E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B7E02">
              <w:rPr>
                <w:rFonts w:asciiTheme="majorBidi" w:hAnsiTheme="majorBidi" w:cstheme="majorBidi"/>
                <w:sz w:val="24"/>
                <w:szCs w:val="24"/>
              </w:rPr>
              <w:t>ganda</w:t>
            </w:r>
            <w:proofErr w:type="spellEnd"/>
            <w:r w:rsidR="00FB7E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B7E02"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 w:rsidR="00FB7E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B7E02">
              <w:rPr>
                <w:rFonts w:asciiTheme="majorBidi" w:hAnsiTheme="majorBidi" w:cstheme="majorBidi"/>
                <w:sz w:val="24"/>
                <w:szCs w:val="24"/>
              </w:rPr>
              <w:t>menjaga</w:t>
            </w:r>
            <w:proofErr w:type="spellEnd"/>
            <w:r w:rsidR="00FB7E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B7E02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FB7E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B7E02">
              <w:rPr>
                <w:rFonts w:asciiTheme="majorBidi" w:hAnsiTheme="majorBidi" w:cstheme="majorBidi"/>
                <w:sz w:val="24"/>
                <w:szCs w:val="24"/>
              </w:rPr>
              <w:t>melindungi</w:t>
            </w:r>
            <w:proofErr w:type="spellEnd"/>
            <w:r w:rsidR="00FB7E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B7E02">
              <w:rPr>
                <w:rFonts w:asciiTheme="majorBidi" w:hAnsiTheme="majorBidi" w:cstheme="majorBidi"/>
                <w:sz w:val="24"/>
                <w:szCs w:val="24"/>
              </w:rPr>
              <w:t>keaslian</w:t>
            </w:r>
            <w:proofErr w:type="spellEnd"/>
            <w:r w:rsidR="00FB7E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B7E02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FB7E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B7E02">
              <w:rPr>
                <w:rFonts w:asciiTheme="majorBidi" w:hAnsiTheme="majorBidi" w:cstheme="majorBidi"/>
                <w:sz w:val="24"/>
                <w:szCs w:val="24"/>
              </w:rPr>
              <w:t>integritas</w:t>
            </w:r>
            <w:proofErr w:type="spellEnd"/>
            <w:r w:rsidR="00FB7E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B7E02">
              <w:rPr>
                <w:rFonts w:asciiTheme="majorBidi" w:hAnsiTheme="majorBidi" w:cstheme="majorBidi"/>
                <w:sz w:val="24"/>
                <w:szCs w:val="24"/>
              </w:rPr>
              <w:t>kepemilikan</w:t>
            </w:r>
            <w:proofErr w:type="spellEnd"/>
            <w:r w:rsidR="00FB7E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B7E02"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 w:rsidR="00FB7E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B7E02">
              <w:rPr>
                <w:rFonts w:asciiTheme="majorBidi" w:hAnsiTheme="majorBidi" w:cstheme="majorBidi"/>
                <w:sz w:val="24"/>
                <w:szCs w:val="24"/>
              </w:rPr>
              <w:t>mempromosikan</w:t>
            </w:r>
            <w:proofErr w:type="spellEnd"/>
            <w:r w:rsidR="00FB7E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B7E02">
              <w:rPr>
                <w:rFonts w:asciiTheme="majorBidi" w:hAnsiTheme="majorBidi" w:cstheme="majorBidi"/>
                <w:sz w:val="24"/>
                <w:szCs w:val="24"/>
              </w:rPr>
              <w:t>penggunaan</w:t>
            </w:r>
            <w:proofErr w:type="spellEnd"/>
            <w:r w:rsidR="00FB7E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B7E02">
              <w:rPr>
                <w:rFonts w:asciiTheme="majorBidi" w:hAnsiTheme="majorBidi" w:cstheme="majorBidi"/>
                <w:sz w:val="24"/>
                <w:szCs w:val="24"/>
              </w:rPr>
              <w:t>catatan</w:t>
            </w:r>
            <w:proofErr w:type="spellEnd"/>
            <w:r w:rsidR="00FB7E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B7E02">
              <w:rPr>
                <w:rFonts w:asciiTheme="majorBidi" w:hAnsiTheme="majorBidi" w:cstheme="majorBidi"/>
                <w:sz w:val="24"/>
                <w:szCs w:val="24"/>
              </w:rPr>
              <w:t>sebagai</w:t>
            </w:r>
            <w:proofErr w:type="spellEnd"/>
            <w:r w:rsidR="00FB7E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B7E02">
              <w:rPr>
                <w:rFonts w:asciiTheme="majorBidi" w:hAnsiTheme="majorBidi" w:cstheme="majorBidi"/>
                <w:sz w:val="24"/>
                <w:szCs w:val="24"/>
              </w:rPr>
              <w:t>tujuan</w:t>
            </w:r>
            <w:proofErr w:type="spellEnd"/>
            <w:r w:rsidR="00FB7E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B7E02">
              <w:rPr>
                <w:rFonts w:asciiTheme="majorBidi" w:hAnsiTheme="majorBidi" w:cstheme="majorBidi"/>
                <w:sz w:val="24"/>
                <w:szCs w:val="24"/>
              </w:rPr>
              <w:t>mendasar</w:t>
            </w:r>
            <w:proofErr w:type="spellEnd"/>
            <w:r w:rsidR="00FB7E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B7E02"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 w:rsidR="00FB7E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B7E02">
              <w:rPr>
                <w:rFonts w:asciiTheme="majorBidi" w:hAnsiTheme="majorBidi" w:cstheme="majorBidi"/>
                <w:sz w:val="24"/>
                <w:szCs w:val="24"/>
              </w:rPr>
              <w:t>penyimpanan</w:t>
            </w:r>
            <w:proofErr w:type="spellEnd"/>
            <w:r w:rsidR="00FB7E02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 w:rsidR="00FB7E02">
              <w:rPr>
                <w:rFonts w:asciiTheme="majorBidi" w:hAnsiTheme="majorBidi" w:cstheme="majorBidi"/>
                <w:sz w:val="24"/>
                <w:szCs w:val="24"/>
              </w:rPr>
              <w:t>arsip</w:t>
            </w:r>
            <w:proofErr w:type="spellEnd"/>
            <w:r w:rsidR="00FB7E02"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</w:p>
        </w:tc>
      </w:tr>
      <w:tr w:rsidR="00FD3413" w:rsidTr="004234D0">
        <w:tc>
          <w:tcPr>
            <w:tcW w:w="3145" w:type="dxa"/>
          </w:tcPr>
          <w:p w:rsidR="00FD3413" w:rsidRDefault="00FD3413" w:rsidP="00520652">
            <w:pPr>
              <w:spacing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Kesimpulan</w:t>
            </w:r>
            <w:proofErr w:type="spellEnd"/>
          </w:p>
        </w:tc>
        <w:tc>
          <w:tcPr>
            <w:tcW w:w="6205" w:type="dxa"/>
          </w:tcPr>
          <w:p w:rsidR="00FD3413" w:rsidRDefault="00FB7E02" w:rsidP="00520652">
            <w:pPr>
              <w:spacing w:line="360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Asosiasi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kearsipan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profesional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berjuang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mencerminkan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dampak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dari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pergeseran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digital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etik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mereka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pengarsipan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individu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tersisa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menangani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berbagai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tantangan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menangani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konten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digital. Hal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pertama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harus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dilakukan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adalah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meninjau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kembali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merevisi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kode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etik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mendukung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kerja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arsiparis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masa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kini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menyikapi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persoalan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etika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muncul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komprehensif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sehubungan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pencatatan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digital.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Kedua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menyuarakan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pelanggaran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kepercayaan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signifikan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terkait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catatan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sejarah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meningkatkan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profil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profesional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arsiparis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menciptakan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kesadaran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publik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lebih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besar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tentang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pekerjaan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arsip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Sangat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penting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bagi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arsiparis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mulai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mengambil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sikap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menghadapi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perilaku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ambigu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etis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terkait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dengan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catatan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sejarah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Arsiparis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juga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harus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berjuang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untuk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perilaku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etis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tertinggi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berakar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pada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standar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formal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kerangka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moral.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Jika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gagal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mengambil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sikap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secara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aktif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berpartisipasi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dalam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pembentukan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kerangka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kerja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etis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kuat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arsip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dan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perluasannya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warisan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budaya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masyarakat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pasti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akan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semakin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sz w:val="24"/>
                <w:szCs w:val="24"/>
              </w:rPr>
              <w:t>miskin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.</w:t>
            </w:r>
          </w:p>
        </w:tc>
      </w:tr>
    </w:tbl>
    <w:p w:rsidR="00FD3413" w:rsidRPr="003B4F6B" w:rsidRDefault="00FD3413" w:rsidP="00520652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:rsidR="00FD3413" w:rsidRDefault="00FD3413" w:rsidP="00520652">
      <w:pPr>
        <w:spacing w:line="360" w:lineRule="auto"/>
      </w:pPr>
    </w:p>
    <w:p w:rsidR="00C1512C" w:rsidRDefault="00C1512C" w:rsidP="00520652">
      <w:pPr>
        <w:spacing w:line="360" w:lineRule="auto"/>
      </w:pPr>
    </w:p>
    <w:sectPr w:rsidR="00C15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413"/>
    <w:rsid w:val="0018007B"/>
    <w:rsid w:val="00520652"/>
    <w:rsid w:val="005B5D80"/>
    <w:rsid w:val="006E5404"/>
    <w:rsid w:val="00841EFA"/>
    <w:rsid w:val="00B05131"/>
    <w:rsid w:val="00BA5D5D"/>
    <w:rsid w:val="00C1512C"/>
    <w:rsid w:val="00CF7785"/>
    <w:rsid w:val="00FB7E02"/>
    <w:rsid w:val="00FD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ECC19-15D5-447C-9A57-74338489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341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3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FD34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aria.ca/index.php/archivaria/article/view/136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5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Venina Ruthantien</dc:creator>
  <cp:keywords/>
  <dc:description/>
  <cp:lastModifiedBy>Venina Ruthantien</cp:lastModifiedBy>
  <cp:revision>1</cp:revision>
  <dcterms:created xsi:type="dcterms:W3CDTF">2020-10-01T15:18:00Z</dcterms:created>
  <dcterms:modified xsi:type="dcterms:W3CDTF">2020-10-01T17:30:00Z</dcterms:modified>
</cp:coreProperties>
</file>