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Calibri" w:cs="Calibri" w:eastAsia="Calibri" w:hAnsi="Calibri"/>
          <w:b/>
          <w:bCs/>
          <w:color w:val="195A5A"/>
          <w:sz w:val="56"/>
          <w:szCs w:val="56"/>
        </w:rPr>
        <w:t xml:space="preserve">SwordNex Billing</w:t>
      </w:r>
    </w:p>
    <w:p>
      <w:pPr>
        <w:spacing w:after="80" w:before="240"/>
        <w:jc w:val="center"/>
      </w:pPr>
      <w:r>
        <w:rPr>
          <w:rFonts w:ascii="Calibri" w:cs="Calibri" w:eastAsia="Calibri" w:hAnsi="Calibri"/>
          <w:color w:val="1A1A1A"/>
          <w:sz w:val="28"/>
          <w:szCs w:val="28"/>
        </w:rPr>
        <w:t xml:space="preserve">Project Documentation — Application Page Directory &amp; Purpose Reference</w:t>
      </w:r>
    </w:p>
    <w:p>
      <w:pPr>
        <w:spacing w:before="480"/>
        <w:jc w:val="center"/>
      </w:pPr>
      <w:r>
        <w:rPr>
          <w:rFonts w:ascii="Calibri" w:cs="Calibri" w:eastAsia="Calibri" w:hAnsi="Calibri"/>
          <w:color w:val="6B7280"/>
          <w:sz w:val="22"/>
          <w:szCs w:val="22"/>
        </w:rPr>
        <w:t xml:space="preserve">SwordNex Technologies</w:t>
      </w:r>
    </w:p>
    <w:p>
      <w:pPr>
        <w:spacing w:before="80"/>
        <w:jc w:val="center"/>
      </w:pPr>
      <w:r>
        <w:rPr>
          <w:rFonts w:ascii="Calibri" w:cs="Calibri" w:eastAsia="Calibri" w:hAnsi="Calibri"/>
          <w:color w:val="6B7280"/>
          <w:sz w:val="22"/>
          <w:szCs w:val="22"/>
        </w:rPr>
        <w:t xml:space="preserve">September 2026</w:t>
      </w:r>
    </w:p>
    <w:p>
      <w:r>
        <w:br w:type="page"/>
      </w:r>
    </w:p>
    <w:p>
      <w:pPr>
        <w:pStyle w:val="Heading1"/>
        <w:pBdr>
          <w:bottom w:val="single" w:color="195A5A" w:sz="8" w:space="4"/>
        </w:pBdr>
        <w:spacing w:after="160" w:before="320"/>
      </w:pPr>
      <w:r>
        <w:rPr>
          <w:rFonts w:ascii="Calibri" w:cs="Calibri" w:eastAsia="Calibri" w:hAnsi="Calibri"/>
          <w:b/>
          <w:bCs/>
          <w:color w:val="195A5A"/>
          <w:sz w:val="32"/>
          <w:szCs w:val="32"/>
        </w:rPr>
        <w:t xml:space="preserve">Table of Contents</w:t>
      </w:r>
    </w:p>
    <w:p>
      <w:pPr>
        <w:spacing w:after="200"/>
      </w:pPr>
      <w:r>
        <w:rPr>
          <w:rFonts w:ascii="Calibri" w:cs="Calibri" w:eastAsia="Calibri" w:hAnsi="Calibri"/>
          <w:i/>
          <w:iCs/>
          <w:color w:val="6B7280"/>
          <w:sz w:val="18"/>
          <w:szCs w:val="18"/>
        </w:rPr>
        <w:t xml:space="preserve">(In Word, right-click below and choose "Update Field" — or press F9 —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95A5A" w:sz="8" w:space="4"/>
        </w:pBdr>
        <w:spacing w:after="160" w:before="320"/>
      </w:pPr>
      <w:r>
        <w:rPr>
          <w:rFonts w:ascii="Calibri" w:cs="Calibri" w:eastAsia="Calibri" w:hAnsi="Calibri"/>
          <w:b/>
          <w:bCs/>
          <w:color w:val="195A5A"/>
          <w:sz w:val="32"/>
          <w:szCs w:val="32"/>
        </w:rPr>
        <w:t xml:space="preserve">1. Platform Overview</w:t>
      </w:r>
    </w:p>
    <w:p>
      <w:pPr>
        <w:spacing w:after="100"/>
      </w:pPr>
      <w:r>
        <w:rPr>
          <w:rFonts w:ascii="Calibri" w:cs="Calibri" w:eastAsia="Calibri" w:hAnsi="Calibri"/>
          <w:color w:val="1A1A1A"/>
          <w:sz w:val="21"/>
          <w:szCs w:val="21"/>
        </w:rPr>
        <w:t xml:space="preserve">SwordNex Billing is a multi-industry billing and business-management platform built to let a single product serve businesses across very different verticals — retail (grocery), apparel (clothing), electronics (mobile/phone shops), pharmacies, educational institutions/academies, and software development agencies — from one shared codebase. Each tenant selects an industry at sign-up, and the application then presents an industry-tailored version of the same core workflows: billing/point-of-sale, inventory, product intake, customer records, GST invoicing, and reporting.</w:t>
      </w:r>
    </w:p>
    <w:p>
      <w:pPr>
        <w:spacing w:after="100"/>
      </w:pPr>
      <w:r>
        <w:rPr>
          <w:rFonts w:ascii="Calibri" w:cs="Calibri" w:eastAsia="Calibri" w:hAnsi="Calibri"/>
          <w:color w:val="1A1A1A"/>
          <w:sz w:val="21"/>
          <w:szCs w:val="21"/>
        </w:rPr>
        <w:t xml:space="preserve">The platform's original brief (captured in the project's planning documents) centered on an educational-institution billing system: GST-compliant invoicing, attendance tracking, expense recording, payroll with pay-slips, and receipt generation. The application has since grown into a broader multi-industry billing suite, with the education use case surviving as the "Academy" industry module alongside five other industry modules.</w:t>
      </w:r>
    </w:p>
    <w:p>
      <w:pPr>
        <w:pStyle w:val="Heading2"/>
        <w:spacing w:after="120" w:before="280"/>
      </w:pPr>
      <w:r>
        <w:rPr>
          <w:rFonts w:ascii="Calibri" w:cs="Calibri" w:eastAsia="Calibri" w:hAnsi="Calibri"/>
          <w:b/>
          <w:bCs/>
          <w:color w:val="195A5A"/>
          <w:sz w:val="27"/>
          <w:szCs w:val="27"/>
        </w:rPr>
        <w:t xml:space="preserve">Technology Stack</w:t>
      </w:r>
    </w:p>
    <w:p>
      <w:pPr>
        <w:spacing w:after="60"/>
      </w:pPr>
      <w:r>
        <w:rPr>
          <w:rFonts w:ascii="Calibri" w:cs="Calibri" w:eastAsia="Calibri" w:hAnsi="Calibri"/>
          <w:b/>
          <w:bCs/>
          <w:color w:val="6B7280"/>
          <w:sz w:val="20"/>
          <w:szCs w:val="20"/>
        </w:rPr>
        <w:t xml:space="preserve">Frontend: </w:t>
      </w:r>
      <w:r>
        <w:rPr>
          <w:rFonts w:ascii="Calibri" w:cs="Calibri" w:eastAsia="Calibri" w:hAnsi="Calibri"/>
          <w:color w:val="1A1A1A"/>
          <w:sz w:val="20"/>
          <w:szCs w:val="20"/>
        </w:rPr>
        <w:t xml:space="preserve">React (component-based), React Router, TailwindCSS for styling, Recharts for analytics charts, jsPDF/html2canvas for PDF export and printing.</w:t>
      </w:r>
    </w:p>
    <w:p>
      <w:pPr>
        <w:spacing w:after="60"/>
      </w:pPr>
      <w:r>
        <w:rPr>
          <w:rFonts w:ascii="Calibri" w:cs="Calibri" w:eastAsia="Calibri" w:hAnsi="Calibri"/>
          <w:b/>
          <w:bCs/>
          <w:color w:val="6B7280"/>
          <w:sz w:val="20"/>
          <w:szCs w:val="20"/>
        </w:rPr>
        <w:t xml:space="preserve">Backend: </w:t>
      </w:r>
      <w:r>
        <w:rPr>
          <w:rFonts w:ascii="Calibri" w:cs="Calibri" w:eastAsia="Calibri" w:hAnsi="Calibri"/>
          <w:color w:val="1A1A1A"/>
          <w:sz w:val="20"/>
          <w:szCs w:val="20"/>
        </w:rPr>
        <w:t xml:space="preserve">Node.js/Express REST API (server.js), with business data (products, bills, customers, GST invoices, credit records) served through a SQL data layer.</w:t>
      </w:r>
    </w:p>
    <w:p>
      <w:pPr>
        <w:spacing w:after="60"/>
      </w:pPr>
      <w:r>
        <w:rPr>
          <w:rFonts w:ascii="Calibri" w:cs="Calibri" w:eastAsia="Calibri" w:hAnsi="Calibri"/>
          <w:b/>
          <w:bCs/>
          <w:color w:val="6B7280"/>
          <w:sz w:val="20"/>
          <w:szCs w:val="20"/>
        </w:rPr>
        <w:t xml:space="preserve">Databases: </w:t>
      </w:r>
      <w:r>
        <w:rPr>
          <w:rFonts w:ascii="Calibri" w:cs="Calibri" w:eastAsia="Calibri" w:hAnsi="Calibri"/>
          <w:color w:val="1A1A1A"/>
          <w:sz w:val="20"/>
          <w:szCs w:val="20"/>
        </w:rPr>
        <w:t xml:space="preserve">A hybrid/dual-database setup. Authentication runs through Firebase Auth. Business data is designed to live in PostgreSQL (NeonDB) per the project's database architecture notes, and a parallel MongoDB/Firestore dual-mode data layer (selected via a DB_TYPE environment flag) exists for local development versus production. Some older screens still read and write directly to Firebase Firestore rather than the REST API — this is called out where it appears below.</w:t>
      </w:r>
    </w:p>
    <w:p>
      <w:pPr>
        <w:spacing w:after="60"/>
      </w:pPr>
      <w:r>
        <w:rPr>
          <w:rFonts w:ascii="Calibri" w:cs="Calibri" w:eastAsia="Calibri" w:hAnsi="Calibri"/>
          <w:b/>
          <w:bCs/>
          <w:color w:val="6B7280"/>
          <w:sz w:val="20"/>
          <w:szCs w:val="20"/>
        </w:rPr>
        <w:t xml:space="preserve">Payments: </w:t>
      </w:r>
      <w:r>
        <w:rPr>
          <w:rFonts w:ascii="Calibri" w:cs="Calibri" w:eastAsia="Calibri" w:hAnsi="Calibri"/>
          <w:color w:val="1A1A1A"/>
          <w:sz w:val="20"/>
          <w:szCs w:val="20"/>
        </w:rPr>
        <w:t xml:space="preserve">Razorpay, used for subscription checkout on the Pricing screen.</w:t>
      </w:r>
    </w:p>
    <w:p>
      <w:pPr>
        <w:pStyle w:val="Heading2"/>
        <w:spacing w:after="120" w:before="280"/>
      </w:pPr>
      <w:r>
        <w:rPr>
          <w:rFonts w:ascii="Calibri" w:cs="Calibri" w:eastAsia="Calibri" w:hAnsi="Calibri"/>
          <w:b/>
          <w:bCs/>
          <w:color w:val="195A5A"/>
          <w:sz w:val="27"/>
          <w:szCs w:val="27"/>
        </w:rPr>
        <w:t xml:space="preserve">How Industry-Based Page Routing Works</w:t>
      </w:r>
    </w:p>
    <w:p>
      <w:pPr>
        <w:spacing w:after="100"/>
      </w:pPr>
      <w:r>
        <w:rPr>
          <w:rFonts w:ascii="Calibri" w:cs="Calibri" w:eastAsia="Calibri" w:hAnsi="Calibri"/>
          <w:color w:val="1A1A1A"/>
          <w:sz w:val="21"/>
          <w:szCs w:val="21"/>
        </w:rPr>
        <w:t xml:space="preserve">Most core workflows (Billing, Inventory, Add Product, Record/History, GST Bill, Barcode, Sub-Users) are implemented once per industry rather than as a single configurable screen. A set of "Industry Router" components (e.g. IndustryBillingRouter, IndustryInventoryRouter) inspect the signed-in tenant's industry and render the matching industry-specific page, falling back to a default page — usually Grocery's — when the tenant's industry has no dedicated version of that screen. The table below summarizes, for each shared workflow, which industries have their own implementation versus which share the fallback:</w:t>
      </w:r>
    </w:p>
    <w:p>
      <w:pPr>
        <w:spacing w:after="240" w:before="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00"/>
      </w:tblGrid>
      <w:tr>
        <w:trPr>
          <w:tblHeader/>
        </w:trPr>
        <w:tc>
          <w:tcPr>
            <w:tcW w:type="dxa" w:w="2400"/>
            <w:shd w:fill="195A5A" w:val="clear"/>
            <w:tcMar>
              <w:top w:type="dxa" w:w="80"/>
              <w:left w:type="dxa" w:w="100"/>
              <w:bottom w:type="dxa" w:w="80"/>
              <w:right w:type="dxa" w:w="100"/>
            </w:tcMar>
          </w:tcPr>
          <w:p>
            <w:r>
              <w:rPr>
                <w:rFonts w:ascii="Calibri" w:cs="Calibri" w:eastAsia="Calibri" w:hAnsi="Calibri"/>
                <w:b/>
                <w:bCs/>
                <w:color w:val="FFFFFF"/>
                <w:sz w:val="19"/>
                <w:szCs w:val="19"/>
              </w:rPr>
              <w:t xml:space="preserve">Workflow</w:t>
            </w:r>
          </w:p>
        </w:tc>
        <w:tc>
          <w:tcPr>
            <w:tcW w:type="dxa" w:w="4200"/>
            <w:shd w:fill="195A5A" w:val="clear"/>
            <w:tcMar>
              <w:top w:type="dxa" w:w="80"/>
              <w:left w:type="dxa" w:w="100"/>
              <w:bottom w:type="dxa" w:w="80"/>
              <w:right w:type="dxa" w:w="100"/>
            </w:tcMar>
          </w:tcPr>
          <w:p>
            <w:r>
              <w:rPr>
                <w:rFonts w:ascii="Calibri" w:cs="Calibri" w:eastAsia="Calibri" w:hAnsi="Calibri"/>
                <w:b/>
                <w:bCs/>
                <w:color w:val="FFFFFF"/>
                <w:sz w:val="19"/>
                <w:szCs w:val="19"/>
              </w:rPr>
              <w:t xml:space="preserve">Industries with a dedicated page</w:t>
            </w:r>
          </w:p>
        </w:tc>
        <w:tc>
          <w:tcPr>
            <w:tcW w:type="dxa" w:w="3000"/>
            <w:shd w:fill="195A5A" w:val="clear"/>
            <w:tcMar>
              <w:top w:type="dxa" w:w="80"/>
              <w:left w:type="dxa" w:w="100"/>
              <w:bottom w:type="dxa" w:w="80"/>
              <w:right w:type="dxa" w:w="100"/>
            </w:tcMar>
          </w:tcPr>
          <w:p>
            <w:r>
              <w:rPr>
                <w:rFonts w:ascii="Calibri" w:cs="Calibri" w:eastAsia="Calibri" w:hAnsi="Calibri"/>
                <w:b/>
                <w:bCs/>
                <w:color w:val="FFFFFF"/>
                <w:sz w:val="19"/>
                <w:szCs w:val="19"/>
              </w:rPr>
              <w:t xml:space="preserve">Fallback / default</w:t>
            </w:r>
          </w:p>
        </w:tc>
      </w:tr>
      <w:tr>
        <w:tc>
          <w:tcPr>
            <w:tcW w:type="dxa" w:w="2400"/>
            <w:tcMar>
              <w:top w:type="dxa" w:w="80"/>
              <w:left w:type="dxa" w:w="100"/>
              <w:bottom w:type="dxa" w:w="80"/>
              <w:right w:type="dxa" w:w="100"/>
            </w:tcMar>
          </w:tcPr>
          <w:p>
            <w:r>
              <w:rPr>
                <w:rFonts w:ascii="Calibri" w:cs="Calibri" w:eastAsia="Calibri" w:hAnsi="Calibri"/>
                <w:color w:val="1A1A1A"/>
                <w:sz w:val="19"/>
                <w:szCs w:val="19"/>
              </w:rPr>
              <w:t xml:space="preserve">Billing / POS</w:t>
            </w:r>
          </w:p>
        </w:tc>
        <w:tc>
          <w:tcPr>
            <w:tcW w:type="dxa" w:w="4200"/>
            <w:tcMar>
              <w:top w:type="dxa" w:w="80"/>
              <w:left w:type="dxa" w:w="100"/>
              <w:bottom w:type="dxa" w:w="80"/>
              <w:right w:type="dxa" w:w="100"/>
            </w:tcMar>
          </w:tcPr>
          <w:p>
            <w:r>
              <w:rPr>
                <w:rFonts w:ascii="Calibri" w:cs="Calibri" w:eastAsia="Calibri" w:hAnsi="Calibri"/>
                <w:color w:val="1A1A1A"/>
                <w:sz w:val="19"/>
                <w:szCs w:val="19"/>
              </w:rPr>
              <w:t xml:space="preserve">Academy, Clothing, Pharmacy, Software Development</w:t>
            </w:r>
          </w:p>
        </w:tc>
        <w:tc>
          <w:tcPr>
            <w:tcW w:type="dxa" w:w="3000"/>
            <w:tcMar>
              <w:top w:type="dxa" w:w="80"/>
              <w:left w:type="dxa" w:w="100"/>
              <w:bottom w:type="dxa" w:w="80"/>
              <w:right w:type="dxa" w:w="100"/>
            </w:tcMar>
          </w:tcPr>
          <w:p>
            <w:r>
              <w:rPr>
                <w:rFonts w:ascii="Calibri" w:cs="Calibri" w:eastAsia="Calibri" w:hAnsi="Calibri"/>
                <w:color w:val="1A1A1A"/>
                <w:sz w:val="19"/>
                <w:szCs w:val="19"/>
              </w:rPr>
              <w:t xml:space="preserve">Grocery (also used for Mobile — see Mobile Industry notes)</w:t>
            </w:r>
          </w:p>
        </w:tc>
      </w:tr>
      <w:tr>
        <w:tc>
          <w:tcPr>
            <w:tcW w:type="dxa" w:w="2400"/>
            <w:tcMar>
              <w:top w:type="dxa" w:w="80"/>
              <w:left w:type="dxa" w:w="100"/>
              <w:bottom w:type="dxa" w:w="80"/>
              <w:right w:type="dxa" w:w="100"/>
            </w:tcMar>
          </w:tcPr>
          <w:p>
            <w:r>
              <w:rPr>
                <w:rFonts w:ascii="Calibri" w:cs="Calibri" w:eastAsia="Calibri" w:hAnsi="Calibri"/>
                <w:color w:val="1A1A1A"/>
                <w:sz w:val="19"/>
                <w:szCs w:val="19"/>
              </w:rPr>
              <w:t xml:space="preserve">Inventory</w:t>
            </w:r>
          </w:p>
        </w:tc>
        <w:tc>
          <w:tcPr>
            <w:tcW w:type="dxa" w:w="4200"/>
            <w:tcMar>
              <w:top w:type="dxa" w:w="80"/>
              <w:left w:type="dxa" w:w="100"/>
              <w:bottom w:type="dxa" w:w="80"/>
              <w:right w:type="dxa" w:w="100"/>
            </w:tcMar>
          </w:tcPr>
          <w:p>
            <w:r>
              <w:rPr>
                <w:rFonts w:ascii="Calibri" w:cs="Calibri" w:eastAsia="Calibri" w:hAnsi="Calibri"/>
                <w:color w:val="1A1A1A"/>
                <w:sz w:val="19"/>
                <w:szCs w:val="19"/>
              </w:rPr>
              <w:t xml:space="preserve">Academy, Clothing, Mobile, Pharmacy, Software Development</w:t>
            </w:r>
          </w:p>
        </w:tc>
        <w:tc>
          <w:tcPr>
            <w:tcW w:type="dxa" w:w="3000"/>
            <w:tcMar>
              <w:top w:type="dxa" w:w="80"/>
              <w:left w:type="dxa" w:w="100"/>
              <w:bottom w:type="dxa" w:w="80"/>
              <w:right w:type="dxa" w:w="100"/>
            </w:tcMar>
          </w:tcPr>
          <w:p>
            <w:r>
              <w:rPr>
                <w:rFonts w:ascii="Calibri" w:cs="Calibri" w:eastAsia="Calibri" w:hAnsi="Calibri"/>
                <w:color w:val="1A1A1A"/>
                <w:sz w:val="19"/>
                <w:szCs w:val="19"/>
              </w:rPr>
              <w:t xml:space="preserve">Grocery</w:t>
            </w:r>
          </w:p>
        </w:tc>
      </w:tr>
      <w:tr>
        <w:tc>
          <w:tcPr>
            <w:tcW w:type="dxa" w:w="2400"/>
            <w:tcMar>
              <w:top w:type="dxa" w:w="80"/>
              <w:left w:type="dxa" w:w="100"/>
              <w:bottom w:type="dxa" w:w="80"/>
              <w:right w:type="dxa" w:w="100"/>
            </w:tcMar>
          </w:tcPr>
          <w:p>
            <w:r>
              <w:rPr>
                <w:rFonts w:ascii="Calibri" w:cs="Calibri" w:eastAsia="Calibri" w:hAnsi="Calibri"/>
                <w:color w:val="1A1A1A"/>
                <w:sz w:val="19"/>
                <w:szCs w:val="19"/>
              </w:rPr>
              <w:t xml:space="preserve">Record / Customer History</w:t>
            </w:r>
          </w:p>
        </w:tc>
        <w:tc>
          <w:tcPr>
            <w:tcW w:type="dxa" w:w="4200"/>
            <w:tcMar>
              <w:top w:type="dxa" w:w="80"/>
              <w:left w:type="dxa" w:w="100"/>
              <w:bottom w:type="dxa" w:w="80"/>
              <w:right w:type="dxa" w:w="100"/>
            </w:tcMar>
          </w:tcPr>
          <w:p>
            <w:r>
              <w:rPr>
                <w:rFonts w:ascii="Calibri" w:cs="Calibri" w:eastAsia="Calibri" w:hAnsi="Calibri"/>
                <w:color w:val="1A1A1A"/>
                <w:sz w:val="19"/>
                <w:szCs w:val="19"/>
              </w:rPr>
              <w:t xml:space="preserve">Academy, Clothing, Mobile, Pharmacy, Software Development</w:t>
            </w:r>
          </w:p>
        </w:tc>
        <w:tc>
          <w:tcPr>
            <w:tcW w:type="dxa" w:w="3000"/>
            <w:tcMar>
              <w:top w:type="dxa" w:w="80"/>
              <w:left w:type="dxa" w:w="100"/>
              <w:bottom w:type="dxa" w:w="80"/>
              <w:right w:type="dxa" w:w="100"/>
            </w:tcMar>
          </w:tcPr>
          <w:p>
            <w:r>
              <w:rPr>
                <w:rFonts w:ascii="Calibri" w:cs="Calibri" w:eastAsia="Calibri" w:hAnsi="Calibri"/>
                <w:color w:val="1A1A1A"/>
                <w:sz w:val="19"/>
                <w:szCs w:val="19"/>
              </w:rPr>
              <w:t xml:space="preserve">Grocery</w:t>
            </w:r>
          </w:p>
        </w:tc>
      </w:tr>
      <w:tr>
        <w:tc>
          <w:tcPr>
            <w:tcW w:type="dxa" w:w="2400"/>
            <w:tcMar>
              <w:top w:type="dxa" w:w="80"/>
              <w:left w:type="dxa" w:w="100"/>
              <w:bottom w:type="dxa" w:w="80"/>
              <w:right w:type="dxa" w:w="100"/>
            </w:tcMar>
          </w:tcPr>
          <w:p>
            <w:r>
              <w:rPr>
                <w:rFonts w:ascii="Calibri" w:cs="Calibri" w:eastAsia="Calibri" w:hAnsi="Calibri"/>
                <w:color w:val="1A1A1A"/>
                <w:sz w:val="19"/>
                <w:szCs w:val="19"/>
              </w:rPr>
              <w:t xml:space="preserve">GST Bill</w:t>
            </w:r>
          </w:p>
        </w:tc>
        <w:tc>
          <w:tcPr>
            <w:tcW w:type="dxa" w:w="4200"/>
            <w:tcMar>
              <w:top w:type="dxa" w:w="80"/>
              <w:left w:type="dxa" w:w="100"/>
              <w:bottom w:type="dxa" w:w="80"/>
              <w:right w:type="dxa" w:w="100"/>
            </w:tcMar>
          </w:tcPr>
          <w:p>
            <w:r>
              <w:rPr>
                <w:rFonts w:ascii="Calibri" w:cs="Calibri" w:eastAsia="Calibri" w:hAnsi="Calibri"/>
                <w:color w:val="1A1A1A"/>
                <w:sz w:val="19"/>
                <w:szCs w:val="19"/>
              </w:rPr>
              <w:t xml:space="preserve">Academy, Clothing, Software Development</w:t>
            </w:r>
          </w:p>
        </w:tc>
        <w:tc>
          <w:tcPr>
            <w:tcW w:type="dxa" w:w="3000"/>
            <w:tcMar>
              <w:top w:type="dxa" w:w="80"/>
              <w:left w:type="dxa" w:w="100"/>
              <w:bottom w:type="dxa" w:w="80"/>
              <w:right w:type="dxa" w:w="100"/>
            </w:tcMar>
          </w:tcPr>
          <w:p>
            <w:r>
              <w:rPr>
                <w:rFonts w:ascii="Calibri" w:cs="Calibri" w:eastAsia="Calibri" w:hAnsi="Calibri"/>
                <w:color w:val="1A1A1A"/>
                <w:sz w:val="19"/>
                <w:szCs w:val="19"/>
              </w:rPr>
              <w:t xml:space="preserve">Generic "Generate GST Bill" screen (Pharmacy, Mobile, and — due to a routing bug — Grocery)</w:t>
            </w:r>
          </w:p>
        </w:tc>
      </w:tr>
      <w:tr>
        <w:tc>
          <w:tcPr>
            <w:tcW w:type="dxa" w:w="2400"/>
            <w:tcMar>
              <w:top w:type="dxa" w:w="80"/>
              <w:left w:type="dxa" w:w="100"/>
              <w:bottom w:type="dxa" w:w="80"/>
              <w:right w:type="dxa" w:w="100"/>
            </w:tcMar>
          </w:tcPr>
          <w:p>
            <w:r>
              <w:rPr>
                <w:rFonts w:ascii="Calibri" w:cs="Calibri" w:eastAsia="Calibri" w:hAnsi="Calibri"/>
                <w:color w:val="1A1A1A"/>
                <w:sz w:val="19"/>
                <w:szCs w:val="19"/>
              </w:rPr>
              <w:t xml:space="preserve">Add Product</w:t>
            </w:r>
          </w:p>
        </w:tc>
        <w:tc>
          <w:tcPr>
            <w:tcW w:type="dxa" w:w="4200"/>
            <w:tcMar>
              <w:top w:type="dxa" w:w="80"/>
              <w:left w:type="dxa" w:w="100"/>
              <w:bottom w:type="dxa" w:w="80"/>
              <w:right w:type="dxa" w:w="100"/>
            </w:tcMar>
          </w:tcPr>
          <w:p>
            <w:r>
              <w:rPr>
                <w:rFonts w:ascii="Calibri" w:cs="Calibri" w:eastAsia="Calibri" w:hAnsi="Calibri"/>
                <w:color w:val="1A1A1A"/>
                <w:sz w:val="19"/>
                <w:szCs w:val="19"/>
              </w:rPr>
              <w:t xml:space="preserve">Academy, Clothing, Mobile, Pharmacy, Software Development</w:t>
            </w:r>
          </w:p>
        </w:tc>
        <w:tc>
          <w:tcPr>
            <w:tcW w:type="dxa" w:w="3000"/>
            <w:tcMar>
              <w:top w:type="dxa" w:w="80"/>
              <w:left w:type="dxa" w:w="100"/>
              <w:bottom w:type="dxa" w:w="80"/>
              <w:right w:type="dxa" w:w="100"/>
            </w:tcMar>
          </w:tcPr>
          <w:p>
            <w:r>
              <w:rPr>
                <w:rFonts w:ascii="Calibri" w:cs="Calibri" w:eastAsia="Calibri" w:hAnsi="Calibri"/>
                <w:color w:val="1A1A1A"/>
                <w:sz w:val="19"/>
                <w:szCs w:val="19"/>
              </w:rPr>
              <w:t xml:space="preserve">Grocery's own Add Product page (used as the universal default)</w:t>
            </w:r>
          </w:p>
        </w:tc>
      </w:tr>
      <w:tr>
        <w:tc>
          <w:tcPr>
            <w:tcW w:type="dxa" w:w="2400"/>
            <w:tcMar>
              <w:top w:type="dxa" w:w="80"/>
              <w:left w:type="dxa" w:w="100"/>
              <w:bottom w:type="dxa" w:w="80"/>
              <w:right w:type="dxa" w:w="100"/>
            </w:tcMar>
          </w:tcPr>
          <w:p>
            <w:r>
              <w:rPr>
                <w:rFonts w:ascii="Calibri" w:cs="Calibri" w:eastAsia="Calibri" w:hAnsi="Calibri"/>
                <w:color w:val="1A1A1A"/>
                <w:sz w:val="19"/>
                <w:szCs w:val="19"/>
              </w:rPr>
              <w:t xml:space="preserve">Add Customer</w:t>
            </w:r>
          </w:p>
        </w:tc>
        <w:tc>
          <w:tcPr>
            <w:tcW w:type="dxa" w:w="4200"/>
            <w:tcMar>
              <w:top w:type="dxa" w:w="80"/>
              <w:left w:type="dxa" w:w="100"/>
              <w:bottom w:type="dxa" w:w="80"/>
              <w:right w:type="dxa" w:w="100"/>
            </w:tcMar>
          </w:tcPr>
          <w:p>
            <w:r>
              <w:rPr>
                <w:rFonts w:ascii="Calibri" w:cs="Calibri" w:eastAsia="Calibri" w:hAnsi="Calibri"/>
                <w:color w:val="1A1A1A"/>
                <w:sz w:val="19"/>
                <w:szCs w:val="19"/>
              </w:rPr>
              <w:t xml:space="preserve">Pharmacy</w:t>
            </w:r>
          </w:p>
        </w:tc>
        <w:tc>
          <w:tcPr>
            <w:tcW w:type="dxa" w:w="3000"/>
            <w:tcMar>
              <w:top w:type="dxa" w:w="80"/>
              <w:left w:type="dxa" w:w="100"/>
              <w:bottom w:type="dxa" w:w="80"/>
              <w:right w:type="dxa" w:w="100"/>
            </w:tcMar>
          </w:tcPr>
          <w:p>
            <w:r>
              <w:rPr>
                <w:rFonts w:ascii="Calibri" w:cs="Calibri" w:eastAsia="Calibri" w:hAnsi="Calibri"/>
                <w:color w:val="1A1A1A"/>
                <w:sz w:val="19"/>
                <w:szCs w:val="19"/>
              </w:rPr>
              <w:t xml:space="preserve">Generic "Add Customer" screen</w:t>
            </w:r>
          </w:p>
        </w:tc>
      </w:tr>
      <w:tr>
        <w:tc>
          <w:tcPr>
            <w:tcW w:type="dxa" w:w="2400"/>
            <w:tcMar>
              <w:top w:type="dxa" w:w="80"/>
              <w:left w:type="dxa" w:w="100"/>
              <w:bottom w:type="dxa" w:w="80"/>
              <w:right w:type="dxa" w:w="100"/>
            </w:tcMar>
          </w:tcPr>
          <w:p>
            <w:r>
              <w:rPr>
                <w:rFonts w:ascii="Calibri" w:cs="Calibri" w:eastAsia="Calibri" w:hAnsi="Calibri"/>
                <w:color w:val="1A1A1A"/>
                <w:sz w:val="19"/>
                <w:szCs w:val="19"/>
              </w:rPr>
              <w:t xml:space="preserve">Barcode Directory</w:t>
            </w:r>
          </w:p>
        </w:tc>
        <w:tc>
          <w:tcPr>
            <w:tcW w:type="dxa" w:w="4200"/>
            <w:tcMar>
              <w:top w:type="dxa" w:w="80"/>
              <w:left w:type="dxa" w:w="100"/>
              <w:bottom w:type="dxa" w:w="80"/>
              <w:right w:type="dxa" w:w="100"/>
            </w:tcMar>
          </w:tcPr>
          <w:p>
            <w:r>
              <w:rPr>
                <w:rFonts w:ascii="Calibri" w:cs="Calibri" w:eastAsia="Calibri" w:hAnsi="Calibri"/>
                <w:color w:val="1A1A1A"/>
                <w:sz w:val="19"/>
                <w:szCs w:val="19"/>
              </w:rPr>
              <w:t xml:space="preserve">Clothing</w:t>
            </w:r>
          </w:p>
        </w:tc>
        <w:tc>
          <w:tcPr>
            <w:tcW w:type="dxa" w:w="3000"/>
            <w:tcMar>
              <w:top w:type="dxa" w:w="80"/>
              <w:left w:type="dxa" w:w="100"/>
              <w:bottom w:type="dxa" w:w="80"/>
              <w:right w:type="dxa" w:w="100"/>
            </w:tcMar>
          </w:tcPr>
          <w:p>
            <w:r>
              <w:rPr>
                <w:rFonts w:ascii="Calibri" w:cs="Calibri" w:eastAsia="Calibri" w:hAnsi="Calibri"/>
                <w:color w:val="1A1A1A"/>
                <w:sz w:val="19"/>
                <w:szCs w:val="19"/>
              </w:rPr>
              <w:t xml:space="preserve">Grocery's barcode page</w:t>
            </w:r>
          </w:p>
        </w:tc>
      </w:tr>
      <w:tr>
        <w:tc>
          <w:tcPr>
            <w:tcW w:type="dxa" w:w="2400"/>
            <w:tcMar>
              <w:top w:type="dxa" w:w="80"/>
              <w:left w:type="dxa" w:w="100"/>
              <w:bottom w:type="dxa" w:w="80"/>
              <w:right w:type="dxa" w:w="100"/>
            </w:tcMar>
          </w:tcPr>
          <w:p>
            <w:r>
              <w:rPr>
                <w:rFonts w:ascii="Calibri" w:cs="Calibri" w:eastAsia="Calibri" w:hAnsi="Calibri"/>
                <w:color w:val="1A1A1A"/>
                <w:sz w:val="19"/>
                <w:szCs w:val="19"/>
              </w:rPr>
              <w:t xml:space="preserve">Sub-User Activity</w:t>
            </w:r>
          </w:p>
        </w:tc>
        <w:tc>
          <w:tcPr>
            <w:tcW w:type="dxa" w:w="4200"/>
            <w:tcMar>
              <w:top w:type="dxa" w:w="80"/>
              <w:left w:type="dxa" w:w="100"/>
              <w:bottom w:type="dxa" w:w="80"/>
              <w:right w:type="dxa" w:w="100"/>
            </w:tcMar>
          </w:tcPr>
          <w:p>
            <w:r>
              <w:rPr>
                <w:rFonts w:ascii="Calibri" w:cs="Calibri" w:eastAsia="Calibri" w:hAnsi="Calibri"/>
                <w:color w:val="1A1A1A"/>
                <w:sz w:val="19"/>
                <w:szCs w:val="19"/>
              </w:rPr>
              <w:t xml:space="preserve">Academy</w:t>
            </w:r>
          </w:p>
        </w:tc>
        <w:tc>
          <w:tcPr>
            <w:tcW w:type="dxa" w:w="3000"/>
            <w:tcMar>
              <w:top w:type="dxa" w:w="80"/>
              <w:left w:type="dxa" w:w="100"/>
              <w:bottom w:type="dxa" w:w="80"/>
              <w:right w:type="dxa" w:w="100"/>
            </w:tcMar>
          </w:tcPr>
          <w:p>
            <w:r>
              <w:rPr>
                <w:rFonts w:ascii="Calibri" w:cs="Calibri" w:eastAsia="Calibri" w:hAnsi="Calibri"/>
                <w:color w:val="1A1A1A"/>
                <w:sz w:val="19"/>
                <w:szCs w:val="19"/>
              </w:rPr>
              <w:t xml:space="preserve">Mobile's Sub-User Records page (used generically)</w:t>
            </w:r>
          </w:p>
        </w:tc>
      </w:tr>
    </w:tbl>
    <w:p>
      <w:pPr>
        <w:spacing w:before="240"/>
      </w:pPr>
    </w:p>
    <w:p>
      <w:pPr>
        <w:pStyle w:val="Heading2"/>
        <w:spacing w:after="120" w:before="280"/>
      </w:pPr>
      <w:r>
        <w:rPr>
          <w:rFonts w:ascii="Calibri" w:cs="Calibri" w:eastAsia="Calibri" w:hAnsi="Calibri"/>
          <w:b/>
          <w:bCs/>
          <w:color w:val="195A5A"/>
          <w:sz w:val="27"/>
          <w:szCs w:val="27"/>
        </w:rPr>
        <w:t xml:space="preserve">How to Read This Document</w:t>
      </w:r>
    </w:p>
    <w:p>
      <w:pPr>
        <w:spacing w:after="100"/>
      </w:pPr>
      <w:r>
        <w:rPr>
          <w:rFonts w:ascii="Calibri" w:cs="Calibri" w:eastAsia="Calibri" w:hAnsi="Calibri"/>
          <w:color w:val="1A1A1A"/>
          <w:sz w:val="21"/>
          <w:szCs w:val="21"/>
        </w:rPr>
        <w:t xml:space="preserve">Each page below is listed with the file it lives in (relative to frontend/src), the module it belongs to, and a plain-language description of its purpose based on a review of the actual page code. Where a page is a fallback default, unused, incomplete, or otherwise not what its name might suggest, that is called out directly under a Status line. A consolidated list of implementation issues found during this review — dead code, duplicate files, routing bugs — appears in the closing appendix for the engineering team's reference.</w:t>
      </w:r>
    </w:p>
    <w:p>
      <w:r>
        <w:br w:type="page"/>
      </w:r>
    </w:p>
    <w:p>
      <w:pPr>
        <w:pStyle w:val="Heading1"/>
        <w:pBdr>
          <w:bottom w:val="single" w:color="195A5A" w:sz="8" w:space="4"/>
        </w:pBdr>
        <w:spacing w:after="160" w:before="320"/>
      </w:pPr>
      <w:r>
        <w:rPr>
          <w:rFonts w:ascii="Calibri" w:cs="Calibri" w:eastAsia="Calibri" w:hAnsi="Calibri"/>
          <w:b/>
          <w:bCs/>
          <w:color w:val="195A5A"/>
          <w:sz w:val="32"/>
          <w:szCs w:val="32"/>
        </w:rPr>
        <w:t xml:space="preserve">2. Authentication &amp; Access</w:t>
      </w:r>
    </w:p>
    <w:p>
      <w:pPr>
        <w:spacing w:after="100"/>
      </w:pPr>
      <w:r>
        <w:rPr>
          <w:rFonts w:ascii="Calibri" w:cs="Calibri" w:eastAsia="Calibri" w:hAnsi="Calibri"/>
          <w:color w:val="1A1A1A"/>
          <w:sz w:val="21"/>
          <w:szCs w:val="21"/>
        </w:rPr>
        <w:t xml:space="preserve">Public and tenant-facing screens that handle sign-up, sign-in, password recovery, and internal SwordNex administrative access.</w:t>
      </w:r>
    </w:p>
    <w:p>
      <w:pPr>
        <w:pStyle w:val="Heading3"/>
        <w:spacing w:after="80" w:before="220"/>
      </w:pPr>
      <w:r>
        <w:rPr>
          <w:rFonts w:ascii="Calibri" w:cs="Calibri" w:eastAsia="Calibri" w:hAnsi="Calibri"/>
          <w:b/>
          <w:bCs/>
          <w:color w:val="195A5A"/>
          <w:sz w:val="24"/>
          <w:szCs w:val="24"/>
        </w:rPr>
        <w:t xml:space="preserve">Employer / Tenant Login</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components/Auth/Login.jsx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/login</w:t>
      </w:r>
    </w:p>
    <w:p>
      <w:pPr>
        <w:spacing w:after="100"/>
      </w:pPr>
      <w:r>
        <w:rPr>
          <w:rFonts w:ascii="Calibri" w:cs="Calibri" w:eastAsia="Calibri" w:hAnsi="Calibri"/>
          <w:color w:val="1A1A1A"/>
          <w:sz w:val="21"/>
          <w:szCs w:val="21"/>
        </w:rPr>
        <w:t xml:space="preserve">The main sign-in screen for tenant staff, with an Admin/Team toggle that changes whether the identifier field is labeled "Email Address" or "Email or Employee ID." It authenticates through the app's auth context (with a Google sign-in option) and shows a success or failure toast. One specific internal address is special-cased to redirect straight to the internal Admin Login screen instead of logging in as a tenant.</w:t>
      </w:r>
    </w:p>
    <w:p>
      <w:pPr>
        <w:spacing w:after="60"/>
      </w:pPr>
      <w:r>
        <w:rPr>
          <w:rFonts w:ascii="Calibri" w:cs="Calibri" w:eastAsia="Calibri" w:hAnsi="Calibri"/>
          <w:b/>
          <w:bCs/>
          <w:color w:val="6B7280"/>
          <w:sz w:val="20"/>
          <w:szCs w:val="20"/>
        </w:rPr>
        <w:t xml:space="preserve">Key fields / actions: </w:t>
      </w:r>
      <w:r>
        <w:rPr>
          <w:rFonts w:ascii="Calibri" w:cs="Calibri" w:eastAsia="Calibri" w:hAnsi="Calibri"/>
          <w:color w:val="1A1A1A"/>
          <w:sz w:val="20"/>
          <w:szCs w:val="20"/>
        </w:rPr>
        <w:t xml:space="preserve">Email/Employee ID, Password (show/hide toggle), "Forgot?" link, "Register" link, Google sign-in button.</w:t>
      </w:r>
    </w:p>
    <w:p>
      <w:pPr>
        <w:pStyle w:val="Heading3"/>
        <w:spacing w:after="80" w:before="220"/>
      </w:pPr>
      <w:r>
        <w:rPr>
          <w:rFonts w:ascii="Calibri" w:cs="Calibri" w:eastAsia="Calibri" w:hAnsi="Calibri"/>
          <w:b/>
          <w:bCs/>
          <w:color w:val="195A5A"/>
          <w:sz w:val="24"/>
          <w:szCs w:val="24"/>
        </w:rPr>
        <w:t xml:space="preserve">Tenant Sign Up</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components/Auth/SignUp.jsx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/signup</w:t>
      </w:r>
    </w:p>
    <w:p>
      <w:pPr>
        <w:spacing w:after="100"/>
      </w:pPr>
      <w:r>
        <w:rPr>
          <w:rFonts w:ascii="Calibri" w:cs="Calibri" w:eastAsia="Calibri" w:hAnsi="Calibri"/>
          <w:color w:val="1A1A1A"/>
          <w:sz w:val="21"/>
          <w:szCs w:val="21"/>
        </w:rPr>
        <w:t xml:space="preserve">A multi-step registration wizard for new tenants: Business Information (name, type, industry/sub-industry, employee count), Personal Information (name, email, mobile, password), and Address &amp; Tax Details (address, GSTIN, PAN). The chosen industry is mapped to an internal key (e.g. mobile_shop, academy, grocery) and stored so that the rest of the application knows which industry-specific pages to show this tenant afterward.</w:t>
      </w:r>
    </w:p>
    <w:p>
      <w:pPr>
        <w:spacing w:after="60"/>
      </w:pPr>
      <w:r>
        <w:rPr>
          <w:rFonts w:ascii="Calibri" w:cs="Calibri" w:eastAsia="Calibri" w:hAnsi="Calibri"/>
          <w:b/>
          <w:bCs/>
          <w:color w:val="6B7280"/>
          <w:sz w:val="20"/>
          <w:szCs w:val="20"/>
        </w:rPr>
        <w:t xml:space="preserve">Key fields / actions: </w:t>
      </w:r>
      <w:r>
        <w:rPr>
          <w:rFonts w:ascii="Calibri" w:cs="Calibri" w:eastAsia="Calibri" w:hAnsi="Calibri"/>
          <w:color w:val="1A1A1A"/>
          <w:sz w:val="20"/>
          <w:szCs w:val="20"/>
        </w:rPr>
        <w:t xml:space="preserve">Business name/type/industry, employee count, first/last name, email, mobile, password + confirm, address fields, GSTIN, PAN.</w:t>
      </w:r>
    </w:p>
    <w:p>
      <w:pPr>
        <w:pStyle w:val="Heading3"/>
        <w:spacing w:after="80" w:before="220"/>
      </w:pPr>
      <w:r>
        <w:rPr>
          <w:rFonts w:ascii="Calibri" w:cs="Calibri" w:eastAsia="Calibri" w:hAnsi="Calibri"/>
          <w:b/>
          <w:bCs/>
          <w:color w:val="195A5A"/>
          <w:sz w:val="24"/>
          <w:szCs w:val="24"/>
        </w:rPr>
        <w:t xml:space="preserve">Onboarding</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components/Auth/Onboarding.jsx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/onboarding</w:t>
      </w:r>
    </w:p>
    <w:p>
      <w:pPr>
        <w:spacing w:after="100"/>
      </w:pPr>
      <w:r>
        <w:rPr>
          <w:rFonts w:ascii="Calibri" w:cs="Calibri" w:eastAsia="Calibri" w:hAnsi="Calibri"/>
          <w:color w:val="1A1A1A"/>
          <w:sz w:val="21"/>
          <w:szCs w:val="21"/>
        </w:rPr>
        <w:t xml:space="preserve">A short post-signup profile step ("Tell us about yourself") capturing job title and how the user heard about the product. Completing it, or choosing "Skip for now," sends the user on to the Pricing screen.</w:t>
      </w:r>
    </w:p>
    <w:p>
      <w:pPr>
        <w:pStyle w:val="Heading3"/>
        <w:spacing w:after="80" w:before="220"/>
      </w:pPr>
      <w:r>
        <w:rPr>
          <w:rFonts w:ascii="Calibri" w:cs="Calibri" w:eastAsia="Calibri" w:hAnsi="Calibri"/>
          <w:b/>
          <w:bCs/>
          <w:color w:val="195A5A"/>
          <w:sz w:val="24"/>
          <w:szCs w:val="24"/>
        </w:rPr>
        <w:t xml:space="preserve">Pricing / Subscription Plans</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components/Auth/Pricing.jsx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/pricing</w:t>
      </w:r>
    </w:p>
    <w:p>
      <w:pPr>
        <w:spacing w:after="100"/>
      </w:pPr>
      <w:r>
        <w:rPr>
          <w:rFonts w:ascii="Calibri" w:cs="Calibri" w:eastAsia="Calibri" w:hAnsi="Calibri"/>
          <w:color w:val="1A1A1A"/>
          <w:sz w:val="21"/>
          <w:szCs w:val="21"/>
        </w:rPr>
        <w:t xml:space="preserve">Displays Trial, Standard, and Premium subscription plans with feature checklists and monthly/yearly/3-year pricing toggles. Starting a trial activates it directly; paid plans go through a live Razorpay checkout and generate a PDF payment receipt once payment is verified.</w:t>
      </w:r>
    </w:p>
    <w:p>
      <w:pPr>
        <w:pStyle w:val="Heading3"/>
        <w:spacing w:after="80" w:before="220"/>
      </w:pPr>
      <w:r>
        <w:rPr>
          <w:rFonts w:ascii="Calibri" w:cs="Calibri" w:eastAsia="Calibri" w:hAnsi="Calibri"/>
          <w:b/>
          <w:bCs/>
          <w:color w:val="195A5A"/>
          <w:sz w:val="24"/>
          <w:szCs w:val="24"/>
        </w:rPr>
        <w:t xml:space="preserve">Forgot Password</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components/Auth/forgot.jsx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/forgot, /forgot-password</w:t>
      </w:r>
    </w:p>
    <w:p>
      <w:pPr>
        <w:spacing w:after="100"/>
      </w:pPr>
      <w:r>
        <w:rPr>
          <w:rFonts w:ascii="Calibri" w:cs="Calibri" w:eastAsia="Calibri" w:hAnsi="Calibri"/>
          <w:color w:val="1A1A1A"/>
          <w:sz w:val="21"/>
          <w:szCs w:val="21"/>
        </w:rPr>
        <w:t xml:space="preserve">The password-reset flow actually reachable from the Login screen. It emails the user a reset link via the backend API, then — once the user follows that link — presents a "set new password" form with a strength meter.</w:t>
      </w:r>
    </w:p>
    <w:p>
      <w:pPr>
        <w:spacing w:after="60"/>
      </w:pPr>
      <w:r>
        <w:rPr>
          <w:rFonts w:ascii="Calibri" w:cs="Calibri" w:eastAsia="Calibri" w:hAnsi="Calibri"/>
          <w:b/>
          <w:bCs/>
          <w:color w:val="6B7280"/>
          <w:sz w:val="20"/>
          <w:szCs w:val="20"/>
        </w:rPr>
        <w:t xml:space="preserve">Key fields / actions: </w:t>
      </w:r>
      <w:r>
        <w:rPr>
          <w:rFonts w:ascii="Calibri" w:cs="Calibri" w:eastAsia="Calibri" w:hAnsi="Calibri"/>
          <w:color w:val="1A1A1A"/>
          <w:sz w:val="20"/>
          <w:szCs w:val="20"/>
        </w:rPr>
        <w:t xml:space="preserve">Business Email; New Password / Confirm Password with a Weak/Medium/Strong strength indicator.</w:t>
      </w:r>
    </w:p>
    <w:p>
      <w:pPr>
        <w:pStyle w:val="Heading3"/>
        <w:spacing w:after="80" w:before="220"/>
      </w:pPr>
      <w:r>
        <w:rPr>
          <w:rFonts w:ascii="Calibri" w:cs="Calibri" w:eastAsia="Calibri" w:hAnsi="Calibri"/>
          <w:b/>
          <w:bCs/>
          <w:color w:val="195A5A"/>
          <w:sz w:val="24"/>
          <w:szCs w:val="24"/>
        </w:rPr>
        <w:t xml:space="preserve">Change Password</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components/Auth/ChangePassword.jsx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/change</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Functionally overlaps with Forgot Password — the two screens perform the same job through two different backend paths. See the closing appendix.</w:t>
      </w:r>
    </w:p>
    <w:p>
      <w:pPr>
        <w:spacing w:after="100"/>
      </w:pPr>
      <w:r>
        <w:rPr>
          <w:rFonts w:ascii="Calibri" w:cs="Calibri" w:eastAsia="Calibri" w:hAnsi="Calibri"/>
          <w:color w:val="1A1A1A"/>
          <w:sz w:val="21"/>
          <w:szCs w:val="21"/>
        </w:rPr>
        <w:t xml:space="preserve">A second password-reset screen for logged-in users, reached at /change. Unlike Forgot Password, it talks directly to Firebase Auth rather than the backend API.</w:t>
      </w:r>
    </w:p>
    <w:p>
      <w:pPr>
        <w:pStyle w:val="Heading3"/>
        <w:spacing w:after="80" w:before="220"/>
      </w:pPr>
      <w:r>
        <w:rPr>
          <w:rFonts w:ascii="Calibri" w:cs="Calibri" w:eastAsia="Calibri" w:hAnsi="Calibri"/>
          <w:b/>
          <w:bCs/>
          <w:color w:val="195A5A"/>
          <w:sz w:val="24"/>
          <w:szCs w:val="24"/>
        </w:rPr>
        <w:t xml:space="preserve">Admin Login (Internal Support)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components/Auth/AdminLogin.jsx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/adminlogin</w:t>
      </w:r>
    </w:p>
    <w:p>
      <w:pPr>
        <w:spacing w:after="100"/>
      </w:pPr>
      <w:r>
        <w:rPr>
          <w:rFonts w:ascii="Calibri" w:cs="Calibri" w:eastAsia="Calibri" w:hAnsi="Calibri"/>
          <w:color w:val="1A1A1A"/>
          <w:sz w:val="21"/>
          <w:szCs w:val="21"/>
        </w:rPr>
        <w:t xml:space="preserve">A separate, Firebase-authenticated login screen intended for SwordNex's own internal support/admin account, styled distinctly from the tenant login. On success it redirects into the SuperAdmin console and includes its own Firebase-based "Forgot password" flow.</w:t>
      </w:r>
    </w:p>
    <w:p>
      <w:pPr>
        <w:pStyle w:val="Heading3"/>
        <w:spacing w:after="80" w:before="220"/>
      </w:pPr>
      <w:r>
        <w:rPr>
          <w:rFonts w:ascii="Calibri" w:cs="Calibri" w:eastAsia="Calibri" w:hAnsi="Calibri"/>
          <w:b/>
          <w:bCs/>
          <w:color w:val="195A5A"/>
          <w:sz w:val="24"/>
          <w:szCs w:val="24"/>
        </w:rPr>
        <w:t xml:space="preserve">SuperAdmin Login</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components/Auth/SuperAdminLogin.jsx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Fully built but not currently registered as a route in the application — see the closing appendix.</w:t>
      </w:r>
    </w:p>
    <w:p>
      <w:pPr>
        <w:spacing w:after="100"/>
      </w:pPr>
      <w:r>
        <w:rPr>
          <w:rFonts w:ascii="Calibri" w:cs="Calibri" w:eastAsia="Calibri" w:hAnsi="Calibri"/>
          <w:color w:val="1A1A1A"/>
          <w:sz w:val="21"/>
          <w:szCs w:val="21"/>
        </w:rPr>
        <w:t xml:space="preserve">An email/password sign-in form for the internal SuperAdmin console, with a link through to SuperAdmin registration.</w:t>
      </w:r>
    </w:p>
    <w:p>
      <w:pPr>
        <w:pStyle w:val="Heading3"/>
        <w:spacing w:after="80" w:before="220"/>
      </w:pPr>
      <w:r>
        <w:rPr>
          <w:rFonts w:ascii="Calibri" w:cs="Calibri" w:eastAsia="Calibri" w:hAnsi="Calibri"/>
          <w:b/>
          <w:bCs/>
          <w:color w:val="195A5A"/>
          <w:sz w:val="24"/>
          <w:szCs w:val="24"/>
        </w:rPr>
        <w:t xml:space="preserve">SuperAdmin Register</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components/Auth/SuperAdminRegister.jsx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Fully built but not currently registered as a route in the application — see the closing appendix.</w:t>
      </w:r>
    </w:p>
    <w:p>
      <w:pPr>
        <w:spacing w:after="100"/>
      </w:pPr>
      <w:r>
        <w:rPr>
          <w:rFonts w:ascii="Calibri" w:cs="Calibri" w:eastAsia="Calibri" w:hAnsi="Calibri"/>
          <w:color w:val="1A1A1A"/>
          <w:sz w:val="21"/>
          <w:szCs w:val="21"/>
        </w:rPr>
        <w:t xml:space="preserve">A name/email/password form for creating a new internal SuperAdmin account.</w:t>
      </w:r>
    </w:p>
    <w:p>
      <w:pPr>
        <w:pStyle w:val="Heading3"/>
        <w:spacing w:after="80" w:before="220"/>
      </w:pPr>
      <w:r>
        <w:rPr>
          <w:rFonts w:ascii="Calibri" w:cs="Calibri" w:eastAsia="Calibri" w:hAnsi="Calibri"/>
          <w:b/>
          <w:bCs/>
          <w:color w:val="195A5A"/>
          <w:sz w:val="24"/>
          <w:szCs w:val="24"/>
        </w:rPr>
        <w:t xml:space="preserve">SuperAdmin Console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components/Auth/SuperAdmin.jsx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/superadmin</w:t>
      </w:r>
    </w:p>
    <w:p>
      <w:pPr>
        <w:spacing w:after="100"/>
      </w:pPr>
      <w:r>
        <w:rPr>
          <w:rFonts w:ascii="Calibri" w:cs="Calibri" w:eastAsia="Calibri" w:hAnsi="Calibri"/>
          <w:color w:val="1A1A1A"/>
          <w:sz w:val="21"/>
          <w:szCs w:val="21"/>
        </w:rPr>
        <w:t xml:space="preserve">The internal control panel for SwordNex staff, guarded by its own session check. It has two tabs: Registered Companies (a searchable, filterable, Excel-exportable list of every tenant, with a bulk-delete action that is intentionally disabled for safety) and Notifications (a broadcast composer for sending announcements to tenants). It also embeds the login/session activity log.</w:t>
      </w:r>
    </w:p>
    <w:p>
      <w:pPr>
        <w:pStyle w:val="Heading3"/>
        <w:spacing w:after="80" w:before="220"/>
      </w:pPr>
      <w:r>
        <w:rPr>
          <w:rFonts w:ascii="Calibri" w:cs="Calibri" w:eastAsia="Calibri" w:hAnsi="Calibri"/>
          <w:b/>
          <w:bCs/>
          <w:color w:val="195A5A"/>
          <w:sz w:val="24"/>
          <w:szCs w:val="24"/>
        </w:rPr>
        <w:t xml:space="preserve">Login Session Records</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components/Auth/Sessionrecord.jsx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/session-records</w:t>
      </w:r>
    </w:p>
    <w:p>
      <w:pPr>
        <w:spacing w:after="100"/>
      </w:pPr>
      <w:r>
        <w:rPr>
          <w:rFonts w:ascii="Calibri" w:cs="Calibri" w:eastAsia="Calibri" w:hAnsi="Calibri"/>
          <w:color w:val="1A1A1A"/>
          <w:sz w:val="21"/>
          <w:szCs w:val="21"/>
        </w:rPr>
        <w:t xml:space="preserve">A table of login/logout activity (name, email, time in/out, location) with date-range filtering and an Excel export. Reachable on its own and embedded inside the SuperAdmin console.</w:t>
      </w:r>
    </w:p>
    <w:p>
      <w:pPr>
        <w:pStyle w:val="Heading3"/>
        <w:spacing w:after="80" w:before="220"/>
      </w:pPr>
      <w:r>
        <w:rPr>
          <w:rFonts w:ascii="Calibri" w:cs="Calibri" w:eastAsia="Calibri" w:hAnsi="Calibri"/>
          <w:b/>
          <w:bCs/>
          <w:color w:val="195A5A"/>
          <w:sz w:val="24"/>
          <w:szCs w:val="24"/>
        </w:rPr>
        <w:t xml:space="preserve">Supporting components (not standalone pages)</w:t>
      </w:r>
    </w:p>
    <w:p>
      <w:pPr>
        <w:spacing w:after="100"/>
      </w:pPr>
      <w:r>
        <w:rPr>
          <w:rFonts w:ascii="Calibri" w:cs="Calibri" w:eastAsia="Calibri" w:hAnsi="Calibri"/>
          <w:color w:val="1A1A1A"/>
          <w:sz w:val="21"/>
          <w:szCs w:val="21"/>
        </w:rPr>
        <w:t xml:space="preserve">Three files in this module support the pages above but are not themselves routes: BarcodeScanner.jsx is a reusable camera barcode-scanning component; RecordLogout.jsx is a helper function that closes a session record on logout; SubscriptionRoute.jsx is the route guard that checks login and subscription status before letting a tenant reach a protected page (its renewal/expiry email notifications currently point at an unconfigured placeholder URL — see the appendix).</w:t>
      </w:r>
    </w:p>
    <w:p>
      <w:pPr>
        <w:pStyle w:val="Heading1"/>
        <w:pBdr>
          <w:bottom w:val="single" w:color="195A5A" w:sz="8" w:space="4"/>
        </w:pBdr>
        <w:spacing w:after="160" w:before="320"/>
      </w:pPr>
      <w:r>
        <w:rPr>
          <w:rFonts w:ascii="Calibri" w:cs="Calibri" w:eastAsia="Calibri" w:hAnsi="Calibri"/>
          <w:b/>
          <w:bCs/>
          <w:color w:val="195A5A"/>
          <w:sz w:val="32"/>
          <w:szCs w:val="32"/>
        </w:rPr>
        <w:t xml:space="preserve">3. Dashboard</w:t>
      </w:r>
    </w:p>
    <w:p>
      <w:pPr>
        <w:spacing w:after="100"/>
      </w:pPr>
      <w:r>
        <w:rPr>
          <w:rFonts w:ascii="Calibri" w:cs="Calibri" w:eastAsia="Calibri" w:hAnsi="Calibri"/>
          <w:color w:val="1A1A1A"/>
          <w:sz w:val="21"/>
          <w:szCs w:val="21"/>
        </w:rPr>
        <w:t xml:space="preserve">The tenant's analytics home screen after login.</w:t>
      </w:r>
    </w:p>
    <w:p>
      <w:pPr>
        <w:pStyle w:val="Heading3"/>
        <w:spacing w:after="80" w:before="220"/>
      </w:pPr>
      <w:r>
        <w:rPr>
          <w:rFonts w:ascii="Calibri" w:cs="Calibri" w:eastAsia="Calibri" w:hAnsi="Calibri"/>
          <w:b/>
          <w:bCs/>
          <w:color w:val="195A5A"/>
          <w:sz w:val="24"/>
          <w:szCs w:val="24"/>
        </w:rPr>
        <w:t xml:space="preserve">Employer Dashboard</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components/Auth/EmployerDashboard.jsx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/dashboard</w:t>
      </w:r>
    </w:p>
    <w:p>
      <w:pPr>
        <w:spacing w:after="100"/>
      </w:pPr>
      <w:r>
        <w:rPr>
          <w:rFonts w:ascii="Calibri" w:cs="Calibri" w:eastAsia="Calibri" w:hAnsi="Calibri"/>
          <w:color w:val="1A1A1A"/>
          <w:sz w:val="21"/>
          <w:szCs w:val="21"/>
        </w:rPr>
        <w:t xml:space="preserve">The main landing screen after login. It pulls products, bills, credit records, cashbook entries, and customers, then computes and displays key business metrics: total revenue, net profit and margin, total sales, expenses, inventory value, low/out-of-stock counts, and unique versus returning customers. The page includes a time-range selector (24 hours to 1 year), sales-trend and inventory-health charts, an expense-category breakdown, a top-sellers list, and a business health summary, plus a reports-download section. For Academy tenants, the same layout relabels itself throughout — "Total Students," "Top Selling Courses," "Course Health" — instead of the retail terminology used elsewhere.</w:t>
      </w:r>
    </w:p>
    <w:p>
      <w:pPr>
        <w:pStyle w:val="Heading1"/>
        <w:pBdr>
          <w:bottom w:val="single" w:color="195A5A" w:sz="8" w:space="4"/>
        </w:pBdr>
        <w:spacing w:after="160" w:before="320"/>
      </w:pPr>
      <w:r>
        <w:rPr>
          <w:rFonts w:ascii="Calibri" w:cs="Calibri" w:eastAsia="Calibri" w:hAnsi="Calibri"/>
          <w:b/>
          <w:bCs/>
          <w:color w:val="195A5A"/>
          <w:sz w:val="32"/>
          <w:szCs w:val="32"/>
        </w:rPr>
        <w:t xml:space="preserve">4. Core Billing &amp; Operations</w:t>
      </w:r>
    </w:p>
    <w:p>
      <w:pPr>
        <w:spacing w:after="100"/>
      </w:pPr>
      <w:r>
        <w:rPr>
          <w:rFonts w:ascii="Calibri" w:cs="Calibri" w:eastAsia="Calibri" w:hAnsi="Calibri"/>
          <w:color w:val="1A1A1A"/>
          <w:sz w:val="21"/>
          <w:szCs w:val="21"/>
        </w:rPr>
        <w:t xml:space="preserve">Shared billing, inventory, credit, and reporting screens. Several of these are the default/fallback implementation used by industries without a dedicated version of the same screen (see the Industry Modules section); a few others were found to be unused during this review and are marked accordingly.</w:t>
      </w:r>
    </w:p>
    <w:p>
      <w:pPr>
        <w:pStyle w:val="Heading3"/>
        <w:spacing w:after="80" w:before="220"/>
      </w:pPr>
      <w:r>
        <w:rPr>
          <w:rFonts w:ascii="Calibri" w:cs="Calibri" w:eastAsia="Calibri" w:hAnsi="Calibri"/>
          <w:b/>
          <w:bCs/>
          <w:color w:val="195A5A"/>
          <w:sz w:val="24"/>
          <w:szCs w:val="24"/>
        </w:rPr>
        <w:t xml:space="preserve">Add Customer</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components/Billing/AddCustomer.jsx</w:t>
      </w:r>
    </w:p>
    <w:p>
      <w:pPr>
        <w:spacing w:after="100"/>
      </w:pPr>
      <w:r>
        <w:rPr>
          <w:rFonts w:ascii="Calibri" w:cs="Calibri" w:eastAsia="Calibri" w:hAnsi="Calibri"/>
          <w:color w:val="1A1A1A"/>
          <w:sz w:val="21"/>
          <w:szCs w:val="21"/>
        </w:rPr>
        <w:t xml:space="preserve">Registers a new customer together with an initial multi-line product sale — a product picker per line, quantity checked against available stock, GST calculated automatically, and a running total/balance/due-per-session shown live. This is the default Add Customer screen used by every industry except Pharmacy.</w:t>
      </w:r>
    </w:p>
    <w:p>
      <w:pPr>
        <w:spacing w:after="60"/>
      </w:pPr>
      <w:r>
        <w:rPr>
          <w:rFonts w:ascii="Calibri" w:cs="Calibri" w:eastAsia="Calibri" w:hAnsi="Calibri"/>
          <w:b/>
          <w:bCs/>
          <w:color w:val="6B7280"/>
          <w:sz w:val="20"/>
          <w:szCs w:val="20"/>
        </w:rPr>
        <w:t xml:space="preserve">Key fields / actions: </w:t>
      </w:r>
      <w:r>
        <w:rPr>
          <w:rFonts w:ascii="Calibri" w:cs="Calibri" w:eastAsia="Calibri" w:hAnsi="Calibri"/>
          <w:color w:val="1A1A1A"/>
          <w:sz w:val="20"/>
          <w:szCs w:val="20"/>
        </w:rPr>
        <w:t xml:space="preserve">Customer name, email, phone, address, date, credit amount, due sessions; per-line product, quantity, price, GST.</w:t>
      </w:r>
    </w:p>
    <w:p>
      <w:pPr>
        <w:pStyle w:val="Heading3"/>
        <w:spacing w:after="80" w:before="220"/>
      </w:pPr>
      <w:r>
        <w:rPr>
          <w:rFonts w:ascii="Calibri" w:cs="Calibri" w:eastAsia="Calibri" w:hAnsi="Calibri"/>
          <w:b/>
          <w:bCs/>
          <w:color w:val="195A5A"/>
          <w:sz w:val="24"/>
          <w:szCs w:val="24"/>
        </w:rPr>
        <w:t xml:space="preserve">Add Product (generic)</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components/Billing/AddProduct.jsx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Only reached when no industry can be determined for the current user at all — an edge case. In normal operation every industry is routed to its own dedicated Add Product page instead (see Industry Modules).</w:t>
      </w:r>
    </w:p>
    <w:p>
      <w:pPr>
        <w:spacing w:after="100"/>
      </w:pPr>
      <w:r>
        <w:rPr>
          <w:rFonts w:ascii="Calibri" w:cs="Calibri" w:eastAsia="Calibri" w:hAnsi="Calibri"/>
          <w:color w:val="1A1A1A"/>
          <w:sz w:val="21"/>
          <w:szCs w:val="21"/>
        </w:rPr>
        <w:t xml:space="preserve">A product/inventory intake form with generic Buy and Sale field sets plus a distinct mobile-phone field set (brand, model, RAM, storage, color, IMEI, warranty).</w:t>
      </w:r>
    </w:p>
    <w:p>
      <w:pPr>
        <w:pStyle w:val="Heading3"/>
        <w:spacing w:after="80" w:before="220"/>
      </w:pPr>
      <w:r>
        <w:rPr>
          <w:rFonts w:ascii="Calibri" w:cs="Calibri" w:eastAsia="Calibri" w:hAnsi="Calibri"/>
          <w:b/>
          <w:bCs/>
          <w:color w:val="195A5A"/>
          <w:sz w:val="24"/>
          <w:szCs w:val="24"/>
        </w:rPr>
        <w:t xml:space="preserve">Barcode Billing (Scan-to-Bill)</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components/Billing/BarcodeBilling.jsx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/barcode-billing</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Reads its product and sales data directly from Firestore rather than the backend API that the rest of the billing screens now use — products added through the current Add Product flow may not appear here. See the appendix.</w:t>
      </w:r>
    </w:p>
    <w:p>
      <w:pPr>
        <w:spacing w:after="100"/>
      </w:pPr>
      <w:r>
        <w:rPr>
          <w:rFonts w:ascii="Calibri" w:cs="Calibri" w:eastAsia="Calibri" w:hAnsi="Calibri"/>
          <w:color w:val="1A1A1A"/>
          <w:sz w:val="21"/>
          <w:szCs w:val="21"/>
        </w:rPr>
        <w:t xml:space="preserve">A scan-and-checkout point-of-sale screen: scanning or typing a barcode adds the matching product to a cart, with quantity controls, a cash/card/UPI payment toggle, and change calculation for cash payments.</w:t>
      </w:r>
    </w:p>
    <w:p>
      <w:pPr>
        <w:pStyle w:val="Heading3"/>
        <w:spacing w:after="80" w:before="220"/>
      </w:pPr>
      <w:r>
        <w:rPr>
          <w:rFonts w:ascii="Calibri" w:cs="Calibri" w:eastAsia="Calibri" w:hAnsi="Calibri"/>
          <w:b/>
          <w:bCs/>
          <w:color w:val="195A5A"/>
          <w:sz w:val="24"/>
          <w:szCs w:val="24"/>
        </w:rPr>
        <w:t xml:space="preserve">Billing (generic POS)</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components/Billing/Billing.jsx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Not imported anywhere in the application — the billing route always resolves through the industry billing router instead. Appears to be unused/orphaned code.</w:t>
      </w:r>
    </w:p>
    <w:p>
      <w:pPr>
        <w:spacing w:after="100"/>
      </w:pPr>
      <w:r>
        <w:rPr>
          <w:rFonts w:ascii="Calibri" w:cs="Calibri" w:eastAsia="Calibri" w:hAnsi="Calibri"/>
          <w:color w:val="1A1A1A"/>
          <w:sz w:val="21"/>
          <w:szCs w:val="21"/>
        </w:rPr>
        <w:t xml:space="preserve">A full point-of-sale screen (product search, cart, barcode input, payment methods, sale completion) conceptually similar to Barcode Billing.</w:t>
      </w:r>
    </w:p>
    <w:p>
      <w:pPr>
        <w:pStyle w:val="Heading3"/>
        <w:spacing w:after="80" w:before="220"/>
      </w:pPr>
      <w:r>
        <w:rPr>
          <w:rFonts w:ascii="Calibri" w:cs="Calibri" w:eastAsia="Calibri" w:hAnsi="Calibri"/>
          <w:b/>
          <w:bCs/>
          <w:color w:val="195A5A"/>
          <w:sz w:val="24"/>
          <w:szCs w:val="24"/>
        </w:rPr>
        <w:t xml:space="preserve">"BillingHistory" (mislabeled file)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components/Billing/BillingHistory.jsx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Not imported anywhere in the application. Mislabeled and unused — see the appendix.</w:t>
      </w:r>
    </w:p>
    <w:p>
      <w:pPr>
        <w:spacing w:after="100"/>
      </w:pPr>
      <w:r>
        <w:rPr>
          <w:rFonts w:ascii="Calibri" w:cs="Calibri" w:eastAsia="Calibri" w:hAnsi="Calibri"/>
          <w:color w:val="1A1A1A"/>
          <w:sz w:val="21"/>
          <w:szCs w:val="21"/>
        </w:rPr>
        <w:t xml:space="preserve">Despite the filename, this file does not show billing history — it is a third, differently-styled copy of the password-reset flow found in Change Password and Forgot Password.</w:t>
      </w:r>
    </w:p>
    <w:p>
      <w:pPr>
        <w:pStyle w:val="Heading3"/>
        <w:spacing w:after="80" w:before="220"/>
      </w:pPr>
      <w:r>
        <w:rPr>
          <w:rFonts w:ascii="Calibri" w:cs="Calibri" w:eastAsia="Calibri" w:hAnsi="Calibri"/>
          <w:b/>
          <w:bCs/>
          <w:color w:val="195A5A"/>
          <w:sz w:val="24"/>
          <w:szCs w:val="24"/>
        </w:rPr>
        <w:t xml:space="preserve">Credit Ledger</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components/Billing/credit.jsx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/credit</w:t>
      </w:r>
    </w:p>
    <w:p>
      <w:pPr>
        <w:spacing w:after="100"/>
      </w:pPr>
      <w:r>
        <w:rPr>
          <w:rFonts w:ascii="Calibri" w:cs="Calibri" w:eastAsia="Calibri" w:hAnsi="Calibri"/>
          <w:color w:val="1A1A1A"/>
          <w:sz w:val="21"/>
          <w:szCs w:val="21"/>
        </w:rPr>
        <w:t xml:space="preserve">Manages customer credit accounts — adding, editing, and removing customers with outstanding balances, recording installment payments through a "pay" modal, and producing a printable/PDF/Excel receipt for each payment.</w:t>
      </w:r>
    </w:p>
    <w:p>
      <w:pPr>
        <w:pStyle w:val="Heading3"/>
        <w:spacing w:after="80" w:before="220"/>
      </w:pPr>
      <w:r>
        <w:rPr>
          <w:rFonts w:ascii="Calibri" w:cs="Calibri" w:eastAsia="Calibri" w:hAnsi="Calibri"/>
          <w:b/>
          <w:bCs/>
          <w:color w:val="195A5A"/>
          <w:sz w:val="24"/>
          <w:szCs w:val="24"/>
        </w:rPr>
        <w:t xml:space="preserve">Generate GST Bill</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components/Billing/GenerateGSTBill.jsx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The default GST Bill screen for industries without their own dedicated GST page — in practice this currently also includes Grocery, due to a routing condition mismatch described in the appendix.</w:t>
      </w:r>
    </w:p>
    <w:p>
      <w:pPr>
        <w:spacing w:after="100"/>
      </w:pPr>
      <w:r>
        <w:rPr>
          <w:rFonts w:ascii="Calibri" w:cs="Calibri" w:eastAsia="Calibri" w:hAnsi="Calibri"/>
          <w:color w:val="1A1A1A"/>
          <w:sz w:val="21"/>
          <w:szCs w:val="21"/>
        </w:rPr>
        <w:t xml:space="preserve">The "Create Invoice" screen for building a full GST tax invoice: Invoice Details, Seller Details, Buyer Details, Ship To, itemized Invoice Items (with HSN/SAC, quantity, unit price, discount, tax rate), and an Invoice Summary. Supports saving, printing, and downloading the invoice as a PDF.</w:t>
      </w:r>
    </w:p>
    <w:p>
      <w:pPr>
        <w:pStyle w:val="Heading3"/>
        <w:spacing w:after="80" w:before="220"/>
      </w:pPr>
      <w:r>
        <w:rPr>
          <w:rFonts w:ascii="Calibri" w:cs="Calibri" w:eastAsia="Calibri" w:hAnsi="Calibri"/>
          <w:b/>
          <w:bCs/>
          <w:color w:val="195A5A"/>
          <w:sz w:val="24"/>
          <w:szCs w:val="24"/>
        </w:rPr>
        <w:t xml:space="preserve">Inventory (core)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components/Billing/Inventory.jsx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Dead code — almost the entire file is commented out and it has no active export or import anywhere in the application.</w:t>
      </w:r>
    </w:p>
    <w:p>
      <w:pPr>
        <w:spacing w:after="100"/>
      </w:pPr>
      <w:r>
        <w:rPr>
          <w:rFonts w:ascii="Calibri" w:cs="Calibri" w:eastAsia="Calibri" w:hAnsi="Calibri"/>
          <w:color w:val="1A1A1A"/>
          <w:sz w:val="21"/>
          <w:szCs w:val="21"/>
        </w:rPr>
        <w:t xml:space="preserve">Appears, from its structure, to have been a general supplier and stock-management screen.</w:t>
      </w:r>
    </w:p>
    <w:p>
      <w:pPr>
        <w:pStyle w:val="Heading3"/>
        <w:spacing w:after="80" w:before="220"/>
      </w:pPr>
      <w:r>
        <w:rPr>
          <w:rFonts w:ascii="Calibri" w:cs="Calibri" w:eastAsia="Calibri" w:hAnsi="Calibri"/>
          <w:b/>
          <w:bCs/>
          <w:color w:val="195A5A"/>
          <w:sz w:val="24"/>
          <w:szCs w:val="24"/>
        </w:rPr>
        <w:t xml:space="preserve">Records Hub (core)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components/Billing/record.jsx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Not used by any router or route — every industry, including the Grocery default, uses its own dedicated Record page instead. This fully-built screen is orphaned/dead code.</w:t>
      </w:r>
    </w:p>
    <w:p>
      <w:pPr>
        <w:spacing w:after="100"/>
      </w:pPr>
      <w:r>
        <w:rPr>
          <w:rFonts w:ascii="Calibri" w:cs="Calibri" w:eastAsia="Calibri" w:hAnsi="Calibri"/>
          <w:color w:val="1A1A1A"/>
          <w:sz w:val="21"/>
          <w:szCs w:val="21"/>
        </w:rPr>
        <w:t xml:space="preserve">A large tabbed Records screen (Inventory, Buy, Sales, Credit, Cashbook, GST, Customers, Suppliers) with date filtering, Excel export, and supplier management.</w:t>
      </w:r>
    </w:p>
    <w:p>
      <w:pPr>
        <w:pStyle w:val="Heading3"/>
        <w:spacing w:after="80" w:before="220"/>
      </w:pPr>
      <w:r>
        <w:rPr>
          <w:rFonts w:ascii="Calibri" w:cs="Calibri" w:eastAsia="Calibri" w:hAnsi="Calibri"/>
          <w:b/>
          <w:bCs/>
          <w:color w:val="195A5A"/>
          <w:sz w:val="24"/>
          <w:szCs w:val="24"/>
        </w:rPr>
        <w:t xml:space="preserve">Reports</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components/Billing/Reports.jsx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/reports</w:t>
      </w:r>
    </w:p>
    <w:p>
      <w:pPr>
        <w:spacing w:after="100"/>
      </w:pPr>
      <w:r>
        <w:rPr>
          <w:rFonts w:ascii="Calibri" w:cs="Calibri" w:eastAsia="Calibri" w:hAnsi="Calibri"/>
          <w:color w:val="1A1A1A"/>
          <w:sz w:val="21"/>
          <w:szCs w:val="21"/>
        </w:rPr>
        <w:t xml:space="preserve">Shows Invoices and Customers tabs, computing total revenue, invoice count, GST collected, and average order value, and listing recent invoices and top customers.</w:t>
      </w:r>
    </w:p>
    <w:p>
      <w:pPr>
        <w:pStyle w:val="Heading3"/>
        <w:spacing w:after="80" w:before="220"/>
      </w:pPr>
      <w:r>
        <w:rPr>
          <w:rFonts w:ascii="Calibri" w:cs="Calibri" w:eastAsia="Calibri" w:hAnsi="Calibri"/>
          <w:b/>
          <w:bCs/>
          <w:color w:val="195A5A"/>
          <w:sz w:val="24"/>
          <w:szCs w:val="24"/>
        </w:rPr>
        <w:t xml:space="preserve">Support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components/Billing/Support.jsx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/support</w:t>
      </w:r>
    </w:p>
    <w:p>
      <w:pPr>
        <w:spacing w:after="100"/>
      </w:pPr>
      <w:r>
        <w:rPr>
          <w:rFonts w:ascii="Calibri" w:cs="Calibri" w:eastAsia="Calibri" w:hAnsi="Calibri"/>
          <w:color w:val="1A1A1A"/>
          <w:sz w:val="21"/>
          <w:szCs w:val="21"/>
        </w:rPr>
        <w:t xml:space="preserve">A public Contact Us page with a message form and social-media/contact links.</w:t>
      </w:r>
    </w:p>
    <w:p>
      <w:pPr>
        <w:pStyle w:val="Heading3"/>
        <w:spacing w:after="80" w:before="220"/>
      </w:pPr>
      <w:r>
        <w:rPr>
          <w:rFonts w:ascii="Calibri" w:cs="Calibri" w:eastAsia="Calibri" w:hAnsi="Calibri"/>
          <w:b/>
          <w:bCs/>
          <w:color w:val="195A5A"/>
          <w:sz w:val="24"/>
          <w:szCs w:val="24"/>
        </w:rPr>
        <w:t xml:space="preserve">Trainers</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components/Billing/Trainer.jsx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/trainers</w:t>
      </w:r>
    </w:p>
    <w:p>
      <w:pPr>
        <w:spacing w:after="100"/>
      </w:pPr>
      <w:r>
        <w:rPr>
          <w:rFonts w:ascii="Calibri" w:cs="Calibri" w:eastAsia="Calibri" w:hAnsi="Calibri"/>
          <w:color w:val="1A1A1A"/>
          <w:sz w:val="21"/>
          <w:szCs w:val="21"/>
        </w:rPr>
        <w:t xml:space="preserve">A directory of trainers (stored as "suppliers" on the backend) for the Academy/coaching context — search, and add/edit/delete a trainer's company, specialization, code, PAN, mobile, email, address, and payment mode.</w:t>
      </w:r>
    </w:p>
    <w:p>
      <w:pPr>
        <w:pStyle w:val="Heading3"/>
        <w:spacing w:after="80" w:before="220"/>
      </w:pPr>
      <w:r>
        <w:rPr>
          <w:rFonts w:ascii="Calibri" w:cs="Calibri" w:eastAsia="Calibri" w:hAnsi="Calibri"/>
          <w:b/>
          <w:bCs/>
          <w:color w:val="195A5A"/>
          <w:sz w:val="24"/>
          <w:szCs w:val="24"/>
        </w:rPr>
        <w:t xml:space="preserve">Industry routers (Billing, Inventory, Record, GST, Add Product, Add Customer, Barcode, Sub-Users)</w:t>
      </w:r>
    </w:p>
    <w:p>
      <w:pPr>
        <w:spacing w:after="100"/>
      </w:pPr>
      <w:r>
        <w:rPr>
          <w:rFonts w:ascii="Calibri" w:cs="Calibri" w:eastAsia="Calibri" w:hAnsi="Calibri"/>
          <w:color w:val="1A1A1A"/>
          <w:sz w:val="21"/>
          <w:szCs w:val="21"/>
        </w:rPr>
        <w:t xml:space="preserve">A family of small router components in this module (IndustryBillingRouter, IndustryInventoryRouter, IndustryRecordRouter, IndustryGstBillRouter, IndustryAddProductRouter, IndustryAddCustomerRouter, IndustryBarcodeRouter, IndustrySubUsers) are not pages themselves — each one simply picks which industry-specific page component to render for the signed-in tenant, per the workflow table in the overview above.</w:t>
      </w:r>
    </w:p>
    <w:p>
      <w:pPr>
        <w:pStyle w:val="Heading1"/>
        <w:pBdr>
          <w:bottom w:val="single" w:color="195A5A" w:sz="8" w:space="4"/>
        </w:pBdr>
        <w:spacing w:after="160" w:before="320"/>
      </w:pPr>
      <w:r>
        <w:rPr>
          <w:rFonts w:ascii="Calibri" w:cs="Calibri" w:eastAsia="Calibri" w:hAnsi="Calibri"/>
          <w:b/>
          <w:bCs/>
          <w:color w:val="195A5A"/>
          <w:sz w:val="32"/>
          <w:szCs w:val="32"/>
        </w:rPr>
        <w:t xml:space="preserve">5. Expenses</w:t>
      </w:r>
    </w:p>
    <w:p>
      <w:pPr>
        <w:pStyle w:val="Heading3"/>
        <w:spacing w:after="80" w:before="220"/>
      </w:pPr>
      <w:r>
        <w:rPr>
          <w:rFonts w:ascii="Calibri" w:cs="Calibri" w:eastAsia="Calibri" w:hAnsi="Calibri"/>
          <w:b/>
          <w:bCs/>
          <w:color w:val="195A5A"/>
          <w:sz w:val="24"/>
          <w:szCs w:val="24"/>
        </w:rPr>
        <w:t xml:space="preserve">Cash Book</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components/Expenses/CashBook.jsx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/cashbook</w:t>
      </w:r>
    </w:p>
    <w:p>
      <w:pPr>
        <w:spacing w:after="100"/>
      </w:pPr>
      <w:r>
        <w:rPr>
          <w:rFonts w:ascii="Calibri" w:cs="Calibri" w:eastAsia="Calibri" w:hAnsi="Calibri"/>
          <w:color w:val="1A1A1A"/>
          <w:sz w:val="21"/>
          <w:szCs w:val="21"/>
        </w:rPr>
        <w:t xml:space="preserve">Tracks manual income and expense transactions (date, description, amount, type, category) with add/edit/delete, filtering by type, category, date range, and search, plus a List view and an Analytics view with expense-breakdown charts.</w:t>
      </w:r>
    </w:p>
    <w:p>
      <w:pPr>
        <w:pStyle w:val="Heading1"/>
        <w:pBdr>
          <w:bottom w:val="single" w:color="195A5A" w:sz="8" w:space="4"/>
        </w:pBdr>
        <w:spacing w:after="160" w:before="320"/>
      </w:pPr>
      <w:r>
        <w:rPr>
          <w:rFonts w:ascii="Calibri" w:cs="Calibri" w:eastAsia="Calibri" w:hAnsi="Calibri"/>
          <w:b/>
          <w:bCs/>
          <w:color w:val="195A5A"/>
          <w:sz w:val="32"/>
          <w:szCs w:val="32"/>
        </w:rPr>
        <w:t xml:space="preserve">6. Settings &amp; Profile</w:t>
      </w:r>
    </w:p>
    <w:p>
      <w:pPr>
        <w:pStyle w:val="Heading3"/>
        <w:spacing w:after="80" w:before="220"/>
      </w:pPr>
      <w:r>
        <w:rPr>
          <w:rFonts w:ascii="Calibri" w:cs="Calibri" w:eastAsia="Calibri" w:hAnsi="Calibri"/>
          <w:b/>
          <w:bCs/>
          <w:color w:val="195A5A"/>
          <w:sz w:val="24"/>
          <w:szCs w:val="24"/>
        </w:rPr>
        <w:t xml:space="preserve">Settings</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pages/Settings.jsx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/settings</w:t>
      </w:r>
    </w:p>
    <w:p>
      <w:pPr>
        <w:spacing w:after="100"/>
      </w:pPr>
      <w:r>
        <w:rPr>
          <w:rFonts w:ascii="Calibri" w:cs="Calibri" w:eastAsia="Calibri" w:hAnsi="Calibri"/>
          <w:color w:val="1A1A1A"/>
          <w:sz w:val="21"/>
          <w:szCs w:val="21"/>
        </w:rPr>
        <w:t xml:space="preserve">The tenant's account-configuration hub, organized as an expandable list of sections: Profile, Subscriptions (plan and payment management, owner/admin only), Support (a query-submission form), Account Status (verification and login history), Invoice (invoice numbering configuration, owner/admin only), Security (password/security settings), Tax Rates (purchase/sales GST rate defaults), Printer (printer configuration), and Sub-Users (owner/admin only — create and manage branch staff accounts). Section visibility changes based on the signed-in user's role.</w:t>
      </w:r>
    </w:p>
    <w:p>
      <w:pPr>
        <w:pStyle w:val="Heading3"/>
        <w:spacing w:after="80" w:before="220"/>
      </w:pPr>
      <w:r>
        <w:rPr>
          <w:rFonts w:ascii="Calibri" w:cs="Calibri" w:eastAsia="Calibri" w:hAnsi="Calibri"/>
          <w:b/>
          <w:bCs/>
          <w:color w:val="195A5A"/>
          <w:sz w:val="24"/>
          <w:szCs w:val="24"/>
        </w:rPr>
        <w:t xml:space="preserve">Profile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pages/Profile.jsx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Not yet implemented — the file is currently empty.</w:t>
      </w:r>
    </w:p>
    <w:p>
      <w:pPr>
        <w:spacing w:after="100"/>
      </w:pPr>
      <w:r>
        <w:rPr>
          <w:rFonts w:ascii="Calibri" w:cs="Calibri" w:eastAsia="Calibri" w:hAnsi="Calibri"/>
          <w:color w:val="1A1A1A"/>
          <w:sz w:val="21"/>
          <w:szCs w:val="21"/>
        </w:rPr>
        <w:t xml:space="preserve">Reserved for a dedicated profile page.</w:t>
      </w:r>
    </w:p>
    <w:p>
      <w:pPr>
        <w:pStyle w:val="Heading3"/>
        <w:spacing w:after="80" w:before="220"/>
      </w:pPr>
      <w:r>
        <w:rPr>
          <w:rFonts w:ascii="Calibri" w:cs="Calibri" w:eastAsia="Calibri" w:hAnsi="Calibri"/>
          <w:b/>
          <w:bCs/>
          <w:color w:val="195A5A"/>
          <w:sz w:val="24"/>
          <w:szCs w:val="24"/>
        </w:rPr>
        <w:t xml:space="preserve">Branding</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pages/Branding.jsx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Not yet implemented — the file is currently empty.</w:t>
      </w:r>
    </w:p>
    <w:p>
      <w:pPr>
        <w:spacing w:after="100"/>
      </w:pPr>
      <w:r>
        <w:rPr>
          <w:rFonts w:ascii="Calibri" w:cs="Calibri" w:eastAsia="Calibri" w:hAnsi="Calibri"/>
          <w:color w:val="1A1A1A"/>
          <w:sz w:val="21"/>
          <w:szCs w:val="21"/>
        </w:rPr>
        <w:t xml:space="preserve">Reserved for a dedicated branding/customization page.</w:t>
      </w:r>
    </w:p>
    <w:p>
      <w:r>
        <w:br w:type="page"/>
      </w:r>
    </w:p>
    <w:p>
      <w:pPr>
        <w:pStyle w:val="Heading1"/>
        <w:pBdr>
          <w:bottom w:val="single" w:color="195A5A" w:sz="8" w:space="4"/>
        </w:pBdr>
        <w:spacing w:after="160" w:before="320"/>
      </w:pPr>
      <w:r>
        <w:rPr>
          <w:rFonts w:ascii="Calibri" w:cs="Calibri" w:eastAsia="Calibri" w:hAnsi="Calibri"/>
          <w:b/>
          <w:bCs/>
          <w:color w:val="195A5A"/>
          <w:sz w:val="32"/>
          <w:szCs w:val="32"/>
        </w:rPr>
        <w:t xml:space="preserve">7. Industry Modules</w:t>
      </w:r>
    </w:p>
    <w:p>
      <w:pPr>
        <w:spacing w:after="100"/>
      </w:pPr>
      <w:r>
        <w:rPr>
          <w:rFonts w:ascii="Calibri" w:cs="Calibri" w:eastAsia="Calibri" w:hAnsi="Calibri"/>
          <w:color w:val="1A1A1A"/>
          <w:sz w:val="21"/>
          <w:szCs w:val="21"/>
        </w:rPr>
        <w:t xml:space="preserve">The six sections below cover every industry-specific implementation of the shared workflows described in the platform overview. Because these pages intentionally share one underlying design per workflow (the same cart-and-payment engine, the same tabbed Record hub, the same GST invoice builder), each entry below focuses on what is actually distinctive for that industry — the fields, categories, or behavior that differ from the shared pattern — rather than re-describing the generic mechanics for every page.</w:t>
      </w:r>
    </w:p>
    <w:p>
      <w:pPr>
        <w:pStyle w:val="Heading2"/>
        <w:spacing w:after="120" w:before="280"/>
      </w:pPr>
      <w:r>
        <w:rPr>
          <w:rFonts w:ascii="Calibri" w:cs="Calibri" w:eastAsia="Calibri" w:hAnsi="Calibri"/>
          <w:b/>
          <w:bCs/>
          <w:color w:val="195A5A"/>
          <w:sz w:val="27"/>
          <w:szCs w:val="27"/>
        </w:rPr>
        <w:t xml:space="preserve">7.1 Academy Industry</w:t>
      </w:r>
    </w:p>
    <w:p>
      <w:pPr>
        <w:spacing w:after="100"/>
      </w:pPr>
      <w:r>
        <w:rPr>
          <w:rFonts w:ascii="Calibri" w:cs="Calibri" w:eastAsia="Calibri" w:hAnsi="Calibri"/>
          <w:color w:val="1A1A1A"/>
          <w:sz w:val="21"/>
          <w:szCs w:val="21"/>
        </w:rPr>
        <w:t xml:space="preserve">Coaching institutes and educational businesses — courses replace products, students and trainers replace customers and suppliers.</w:t>
      </w:r>
    </w:p>
    <w:p>
      <w:pPr>
        <w:pStyle w:val="Heading3"/>
        <w:spacing w:after="80" w:before="220"/>
      </w:pPr>
      <w:r>
        <w:rPr>
          <w:rFonts w:ascii="Calibri" w:cs="Calibri" w:eastAsia="Calibri" w:hAnsi="Calibri"/>
          <w:b/>
          <w:bCs/>
          <w:color w:val="195A5A"/>
          <w:sz w:val="24"/>
          <w:szCs w:val="24"/>
        </w:rPr>
        <w:t xml:space="preserve">Academy Billing</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industry/academy/academybilling.jsx</w:t>
      </w:r>
    </w:p>
    <w:p>
      <w:pPr>
        <w:spacing w:after="100"/>
      </w:pPr>
      <w:r>
        <w:rPr>
          <w:rFonts w:ascii="Calibri" w:cs="Calibri" w:eastAsia="Calibri" w:hAnsi="Calibri"/>
          <w:color w:val="1A1A1A"/>
          <w:sz w:val="21"/>
          <w:szCs w:val="21"/>
        </w:rPr>
        <w:t xml:space="preserve">The checkout screen used when enrolling a student in a course. It supports barcode/SKU scan-to-cart and Cash/Card/UPI/Term payment methods, where "Term" spreads a course fee over installments. Completing a sale captures the student's details and produces a printable PDF receipt; it can also be reached from Fee Dues to process a pre-filled credit repayment.</w:t>
      </w:r>
    </w:p>
    <w:p>
      <w:pPr>
        <w:pStyle w:val="Heading3"/>
        <w:spacing w:after="80" w:before="220"/>
      </w:pPr>
      <w:r>
        <w:rPr>
          <w:rFonts w:ascii="Calibri" w:cs="Calibri" w:eastAsia="Calibri" w:hAnsi="Calibri"/>
          <w:b/>
          <w:bCs/>
          <w:color w:val="195A5A"/>
          <w:sz w:val="24"/>
          <w:szCs w:val="24"/>
        </w:rPr>
        <w:t xml:space="preserve">Academy Course Management (Inventory)</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industry/academy/academyinventry.jsx</w:t>
      </w:r>
    </w:p>
    <w:p>
      <w:pPr>
        <w:spacing w:after="100"/>
      </w:pPr>
      <w:r>
        <w:rPr>
          <w:rFonts w:ascii="Calibri" w:cs="Calibri" w:eastAsia="Calibri" w:hAnsi="Calibri"/>
          <w:color w:val="1A1A1A"/>
          <w:sz w:val="21"/>
          <w:szCs w:val="21"/>
        </w:rPr>
        <w:t xml:space="preserve">Lists all courses for the tenant, mapping the shared product fields onto course fields — Course, Code, Category, Duration, Trainer, Mode, Students, Fee. Supports search and per-row edit/delete.</w:t>
      </w:r>
    </w:p>
    <w:p>
      <w:pPr>
        <w:pStyle w:val="Heading3"/>
        <w:spacing w:after="80" w:before="220"/>
      </w:pPr>
      <w:r>
        <w:rPr>
          <w:rFonts w:ascii="Calibri" w:cs="Calibri" w:eastAsia="Calibri" w:hAnsi="Calibri"/>
          <w:b/>
          <w:bCs/>
          <w:color w:val="195A5A"/>
          <w:sz w:val="24"/>
          <w:szCs w:val="24"/>
        </w:rPr>
        <w:t xml:space="preserve">Add / Edit Course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industry/academy/academyproduct.jsx</w:t>
      </w:r>
    </w:p>
    <w:p>
      <w:pPr>
        <w:spacing w:after="100"/>
      </w:pPr>
      <w:r>
        <w:rPr>
          <w:rFonts w:ascii="Calibri" w:cs="Calibri" w:eastAsia="Calibri" w:hAnsi="Calibri"/>
          <w:color w:val="1A1A1A"/>
          <w:sz w:val="21"/>
          <w:szCs w:val="21"/>
        </w:rPr>
        <w:t xml:space="preserve">The "Add Course" form: Course Name, Course Code, Trainer (selected from the trainer directory), Duration, Category, Level, Mode, Batch Size, Course Fee, GST %, and Certification.</w:t>
      </w:r>
    </w:p>
    <w:p>
      <w:pPr>
        <w:pStyle w:val="Heading3"/>
        <w:spacing w:after="80" w:before="220"/>
      </w:pPr>
      <w:r>
        <w:rPr>
          <w:rFonts w:ascii="Calibri" w:cs="Calibri" w:eastAsia="Calibri" w:hAnsi="Calibri"/>
          <w:b/>
          <w:bCs/>
          <w:color w:val="195A5A"/>
          <w:sz w:val="24"/>
          <w:szCs w:val="24"/>
        </w:rPr>
        <w:t xml:space="preserve">Academy Records</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industry/academy/academyRecord.jsx</w:t>
      </w:r>
    </w:p>
    <w:p>
      <w:pPr>
        <w:spacing w:after="100"/>
      </w:pPr>
      <w:r>
        <w:rPr>
          <w:rFonts w:ascii="Calibri" w:cs="Calibri" w:eastAsia="Calibri" w:hAnsi="Calibri"/>
          <w:color w:val="1A1A1A"/>
          <w:sz w:val="21"/>
          <w:szCs w:val="21"/>
        </w:rPr>
        <w:t xml:space="preserve">The Academy Record/History hub — a tabbed screen covering Billing, Fee Dues, Cashbook, GST Invoice, Students, and Trainers, with trainer management, a print-receipt modal, filtering, and Excel export. The most feature-complete of the industry Record pages.</w:t>
      </w:r>
    </w:p>
    <w:p>
      <w:pPr>
        <w:pStyle w:val="Heading3"/>
        <w:spacing w:after="80" w:before="220"/>
      </w:pPr>
      <w:r>
        <w:rPr>
          <w:rFonts w:ascii="Calibri" w:cs="Calibri" w:eastAsia="Calibri" w:hAnsi="Calibri"/>
          <w:b/>
          <w:bCs/>
          <w:color w:val="195A5A"/>
          <w:sz w:val="24"/>
          <w:szCs w:val="24"/>
        </w:rPr>
        <w:t xml:space="preserve">Academy GST Bill</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industry/academy/academygstbill.jsx</w:t>
      </w:r>
    </w:p>
    <w:p>
      <w:pPr>
        <w:spacing w:after="100"/>
      </w:pPr>
      <w:r>
        <w:rPr>
          <w:rFonts w:ascii="Calibri" w:cs="Calibri" w:eastAsia="Calibri" w:hAnsi="Calibri"/>
          <w:color w:val="1A1A1A"/>
          <w:sz w:val="21"/>
          <w:szCs w:val="21"/>
        </w:rPr>
        <w:t xml:space="preserve">A GST invoice builder pre-filled with the tenant's seller details, with an itemized line table where selecting a course auto-fills its description, HSN/SAC, and price. Exports to PDF.</w:t>
      </w:r>
    </w:p>
    <w:p>
      <w:pPr>
        <w:pStyle w:val="Heading3"/>
        <w:spacing w:after="80" w:before="220"/>
      </w:pPr>
      <w:r>
        <w:rPr>
          <w:rFonts w:ascii="Calibri" w:cs="Calibri" w:eastAsia="Calibri" w:hAnsi="Calibri"/>
          <w:b/>
          <w:bCs/>
          <w:color w:val="195A5A"/>
          <w:sz w:val="24"/>
          <w:szCs w:val="24"/>
        </w:rPr>
        <w:t xml:space="preserve">Academy Staff Records &amp; Activity</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industry/academy/academySubUsers.jsx</w:t>
      </w:r>
    </w:p>
    <w:p>
      <w:pPr>
        <w:spacing w:after="100"/>
      </w:pPr>
      <w:r>
        <w:rPr>
          <w:rFonts w:ascii="Calibri" w:cs="Calibri" w:eastAsia="Calibri" w:hAnsi="Calibri"/>
          <w:color w:val="1A1A1A"/>
          <w:sz w:val="21"/>
          <w:szCs w:val="21"/>
        </w:rPr>
        <w:t xml:space="preserve">A unified audit trail of staff activity across Inventory, Billing, Fee Dues, and Cashbook, filtered to actions taken by sub-users rather than the owner, with per-staff filtering and an Excel export.</w:t>
      </w:r>
    </w:p>
    <w:p>
      <w:pPr>
        <w:pStyle w:val="Heading3"/>
        <w:spacing w:after="80" w:before="220"/>
      </w:pPr>
      <w:r>
        <w:rPr>
          <w:rFonts w:ascii="Calibri" w:cs="Calibri" w:eastAsia="Calibri" w:hAnsi="Calibri"/>
          <w:b/>
          <w:bCs/>
          <w:color w:val="195A5A"/>
          <w:sz w:val="24"/>
          <w:szCs w:val="24"/>
        </w:rPr>
        <w:t xml:space="preserve">Academy Records (older duplicate)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industry/academy/academy record.jsx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Not used by the application's routing — superseded by academyRecord.jsx (note the different filename casing). Appears to be a stale draft left in the codebase; see the appendix.</w:t>
      </w:r>
    </w:p>
    <w:p>
      <w:pPr>
        <w:spacing w:after="100"/>
      </w:pPr>
      <w:r>
        <w:rPr>
          <w:rFonts w:ascii="Calibri" w:cs="Calibri" w:eastAsia="Calibri" w:hAnsi="Calibri"/>
          <w:color w:val="1A1A1A"/>
          <w:sz w:val="21"/>
          <w:szCs w:val="21"/>
        </w:rPr>
        <w:t xml:space="preserve">An earlier, smaller version of the Academy Records page that reads directly from Firestore rather than the backend API, with fewer tabs.</w:t>
      </w:r>
    </w:p>
    <w:p>
      <w:pPr>
        <w:pStyle w:val="Heading2"/>
        <w:spacing w:after="120" w:before="280"/>
      </w:pPr>
      <w:r>
        <w:rPr>
          <w:rFonts w:ascii="Calibri" w:cs="Calibri" w:eastAsia="Calibri" w:hAnsi="Calibri"/>
          <w:b/>
          <w:bCs/>
          <w:color w:val="195A5A"/>
          <w:sz w:val="27"/>
          <w:szCs w:val="27"/>
        </w:rPr>
        <w:t xml:space="preserve">7.2 Clothing Industry</w:t>
      </w:r>
    </w:p>
    <w:p>
      <w:pPr>
        <w:spacing w:after="100"/>
      </w:pPr>
      <w:r>
        <w:rPr>
          <w:rFonts w:ascii="Calibri" w:cs="Calibri" w:eastAsia="Calibri" w:hAnsi="Calibri"/>
          <w:color w:val="1A1A1A"/>
          <w:sz w:val="21"/>
          <w:szCs w:val="21"/>
        </w:rPr>
        <w:t xml:space="preserve">Apparel retail stores.</w:t>
      </w:r>
    </w:p>
    <w:p>
      <w:pPr>
        <w:pStyle w:val="Heading3"/>
        <w:spacing w:after="80" w:before="220"/>
      </w:pPr>
      <w:r>
        <w:rPr>
          <w:rFonts w:ascii="Calibri" w:cs="Calibri" w:eastAsia="Calibri" w:hAnsi="Calibri"/>
          <w:b/>
          <w:bCs/>
          <w:color w:val="195A5A"/>
          <w:sz w:val="24"/>
          <w:szCs w:val="24"/>
        </w:rPr>
        <w:t xml:space="preserve">Clothing Billing</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industry/Clothing/ClothingBilling.jsx</w:t>
      </w:r>
    </w:p>
    <w:p>
      <w:pPr>
        <w:spacing w:after="100"/>
      </w:pPr>
      <w:r>
        <w:rPr>
          <w:rFonts w:ascii="Calibri" w:cs="Calibri" w:eastAsia="Calibri" w:hAnsi="Calibri"/>
          <w:color w:val="1A1A1A"/>
          <w:sz w:val="21"/>
          <w:szCs w:val="21"/>
        </w:rPr>
        <w:t xml:space="preserve">The Billing/POS screen for apparel tenants — the same cart, scan-to-cart, and payment engine used across industries, styled in the Clothing brand color. There is no clothing-specific checkout logic such as size or color line detail.</w:t>
      </w:r>
    </w:p>
    <w:p>
      <w:pPr>
        <w:pStyle w:val="Heading3"/>
        <w:spacing w:after="80" w:before="220"/>
      </w:pPr>
      <w:r>
        <w:rPr>
          <w:rFonts w:ascii="Calibri" w:cs="Calibri" w:eastAsia="Calibri" w:hAnsi="Calibri"/>
          <w:b/>
          <w:bCs/>
          <w:color w:val="195A5A"/>
          <w:sz w:val="24"/>
          <w:szCs w:val="24"/>
        </w:rPr>
        <w:t xml:space="preserve">Clothing Inventory</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industry/Clothing/ClothingInventory.jsx</w:t>
      </w:r>
    </w:p>
    <w:p>
      <w:pPr>
        <w:spacing w:after="100"/>
      </w:pPr>
      <w:r>
        <w:rPr>
          <w:rFonts w:ascii="Calibri" w:cs="Calibri" w:eastAsia="Calibri" w:hAnsi="Calibri"/>
          <w:color w:val="1A1A1A"/>
          <w:sz w:val="21"/>
          <w:szCs w:val="21"/>
        </w:rPr>
        <w:t xml:space="preserve">The product table for apparel stock, with a "Size" column — in the current implementation this reuses the generic description field relabeled as Size rather than a true size attribute.</w:t>
      </w:r>
    </w:p>
    <w:p>
      <w:pPr>
        <w:pStyle w:val="Heading3"/>
        <w:spacing w:after="80" w:before="220"/>
      </w:pPr>
      <w:r>
        <w:rPr>
          <w:rFonts w:ascii="Calibri" w:cs="Calibri" w:eastAsia="Calibri" w:hAnsi="Calibri"/>
          <w:b/>
          <w:bCs/>
          <w:color w:val="195A5A"/>
          <w:sz w:val="24"/>
          <w:szCs w:val="24"/>
        </w:rPr>
        <w:t xml:space="preserve">Clothing Add Product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industry/Clothing/ClothingAddProduct.jsx</w:t>
      </w:r>
    </w:p>
    <w:p>
      <w:pPr>
        <w:spacing w:after="100"/>
      </w:pPr>
      <w:r>
        <w:rPr>
          <w:rFonts w:ascii="Calibri" w:cs="Calibri" w:eastAsia="Calibri" w:hAnsi="Calibri"/>
          <w:color w:val="1A1A1A"/>
          <w:sz w:val="21"/>
          <w:szCs w:val="21"/>
        </w:rPr>
        <w:t xml:space="preserve">Add/Edit Product form with an apparel category tree (Men, Women, Kids, Winter Wear, Sports Wear, Accessories) and the same Buy/Sale field split used elsewhere, including an auto-calculated reorder level.</w:t>
      </w:r>
    </w:p>
    <w:p>
      <w:pPr>
        <w:pStyle w:val="Heading3"/>
        <w:spacing w:after="80" w:before="220"/>
      </w:pPr>
      <w:r>
        <w:rPr>
          <w:rFonts w:ascii="Calibri" w:cs="Calibri" w:eastAsia="Calibri" w:hAnsi="Calibri"/>
          <w:b/>
          <w:bCs/>
          <w:color w:val="195A5A"/>
          <w:sz w:val="24"/>
          <w:szCs w:val="24"/>
        </w:rPr>
        <w:t xml:space="preserve">Clothing GST Bill</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industry/Clothing/ClothingGstBill.jsx</w:t>
      </w:r>
    </w:p>
    <w:p>
      <w:pPr>
        <w:spacing w:after="100"/>
      </w:pPr>
      <w:r>
        <w:rPr>
          <w:rFonts w:ascii="Calibri" w:cs="Calibri" w:eastAsia="Calibri" w:hAnsi="Calibri"/>
          <w:color w:val="1A1A1A"/>
          <w:sz w:val="21"/>
          <w:szCs w:val="21"/>
        </w:rPr>
        <w:t xml:space="preserve">A GST invoice builder structurally identical to the other industries' GST bill pages, styled in the Clothing color scheme.</w:t>
      </w:r>
    </w:p>
    <w:p>
      <w:pPr>
        <w:pStyle w:val="Heading3"/>
        <w:spacing w:after="80" w:before="220"/>
      </w:pPr>
      <w:r>
        <w:rPr>
          <w:rFonts w:ascii="Calibri" w:cs="Calibri" w:eastAsia="Calibri" w:hAnsi="Calibri"/>
          <w:b/>
          <w:bCs/>
          <w:color w:val="195A5A"/>
          <w:sz w:val="24"/>
          <w:szCs w:val="24"/>
        </w:rPr>
        <w:t xml:space="preserve">Clothing Record</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industry/Clothing/ClothingRecord.jsx</w:t>
      </w:r>
    </w:p>
    <w:p>
      <w:pPr>
        <w:spacing w:after="100"/>
      </w:pPr>
      <w:r>
        <w:rPr>
          <w:rFonts w:ascii="Calibri" w:cs="Calibri" w:eastAsia="Calibri" w:hAnsi="Calibri"/>
          <w:color w:val="1A1A1A"/>
          <w:sz w:val="21"/>
          <w:szCs w:val="21"/>
        </w:rPr>
        <w:t xml:space="preserve">Clothing's Record/History hub, with the same shared tab set (Inventory, Buy Details, Billing, Credit, Cashbook, GST Invoice, Customers, Suppliers) used across industries.</w:t>
      </w:r>
    </w:p>
    <w:p>
      <w:pPr>
        <w:pStyle w:val="Heading3"/>
        <w:spacing w:after="80" w:before="220"/>
      </w:pPr>
      <w:r>
        <w:rPr>
          <w:rFonts w:ascii="Calibri" w:cs="Calibri" w:eastAsia="Calibri" w:hAnsi="Calibri"/>
          <w:b/>
          <w:bCs/>
          <w:color w:val="195A5A"/>
          <w:sz w:val="24"/>
          <w:szCs w:val="24"/>
        </w:rPr>
        <w:t xml:space="preserve">Clothing — All Barcodes</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industry/Clothing/ClothingAllBarcode.jsx</w:t>
      </w:r>
    </w:p>
    <w:p>
      <w:pPr>
        <w:spacing w:after="100"/>
      </w:pPr>
      <w:r>
        <w:rPr>
          <w:rFonts w:ascii="Calibri" w:cs="Calibri" w:eastAsia="Calibri" w:hAnsi="Calibri"/>
          <w:color w:val="1A1A1A"/>
          <w:sz w:val="21"/>
          <w:szCs w:val="21"/>
        </w:rPr>
        <w:t xml:space="preserve">A combined "Product Barcodes" grid showing every barcoded item with a printable barcode card each, plus a batch "Print All" action. Per the platform's routing rules, this combined view is unique to Clothing — other industries use Grocery's equivalent page.</w:t>
      </w:r>
    </w:p>
    <w:p>
      <w:pPr>
        <w:pStyle w:val="Heading3"/>
        <w:spacing w:after="80" w:before="220"/>
      </w:pPr>
      <w:r>
        <w:rPr>
          <w:rFonts w:ascii="Calibri" w:cs="Calibri" w:eastAsia="Calibri" w:hAnsi="Calibri"/>
          <w:b/>
          <w:bCs/>
          <w:color w:val="195A5A"/>
          <w:sz w:val="24"/>
          <w:szCs w:val="24"/>
        </w:rPr>
        <w:t xml:space="preserve">Clothing Barcode (single product)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industry/Clothing/ClothingBarcode.jsx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The industry check that switches between these two field sets does not match a real Clothing tenant, so the page currently always shows the IMEI/Color fields borrowed from the Mobile industry rather than clothing-appropriate ones. See the appendix.</w:t>
      </w:r>
    </w:p>
    <w:p>
      <w:pPr>
        <w:spacing w:after="100"/>
      </w:pPr>
      <w:r>
        <w:rPr>
          <w:rFonts w:ascii="Calibri" w:cs="Calibri" w:eastAsia="Calibri" w:hAnsi="Calibri"/>
          <w:color w:val="1A1A1A"/>
          <w:sz w:val="21"/>
          <w:szCs w:val="21"/>
        </w:rPr>
        <w:t xml:space="preserve">A single-product barcode detail/print page reached from the barcode grid, intended to show Device/IMEI/Color fields versus generic Product/SKU fields depending on the tenant's industry.</w:t>
      </w:r>
    </w:p>
    <w:p>
      <w:pPr>
        <w:pStyle w:val="Heading2"/>
        <w:spacing w:after="120" w:before="280"/>
      </w:pPr>
      <w:r>
        <w:rPr>
          <w:rFonts w:ascii="Calibri" w:cs="Calibri" w:eastAsia="Calibri" w:hAnsi="Calibri"/>
          <w:b/>
          <w:bCs/>
          <w:color w:val="195A5A"/>
          <w:sz w:val="27"/>
          <w:szCs w:val="27"/>
        </w:rPr>
        <w:t xml:space="preserve">7.3 Grocery Industry</w:t>
      </w:r>
    </w:p>
    <w:p>
      <w:pPr>
        <w:spacing w:after="100"/>
      </w:pPr>
      <w:r>
        <w:rPr>
          <w:rFonts w:ascii="Calibri" w:cs="Calibri" w:eastAsia="Calibri" w:hAnsi="Calibri"/>
          <w:color w:val="1A1A1A"/>
          <w:sz w:val="21"/>
          <w:szCs w:val="21"/>
        </w:rPr>
        <w:t xml:space="preserve">General retail/grocery stores — also the platform's default fallback industry.</w:t>
      </w:r>
    </w:p>
    <w:p>
      <w:pPr>
        <w:pStyle w:val="Heading3"/>
        <w:spacing w:after="80" w:before="220"/>
      </w:pPr>
      <w:r>
        <w:rPr>
          <w:rFonts w:ascii="Calibri" w:cs="Calibri" w:eastAsia="Calibri" w:hAnsi="Calibri"/>
          <w:b/>
          <w:bCs/>
          <w:color w:val="195A5A"/>
          <w:sz w:val="24"/>
          <w:szCs w:val="24"/>
        </w:rPr>
        <w:t xml:space="preserve">Grocery Billing</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industry/grocery/groceryBilling.jsx</w:t>
      </w:r>
    </w:p>
    <w:p>
      <w:pPr>
        <w:spacing w:after="100"/>
      </w:pPr>
      <w:r>
        <w:rPr>
          <w:rFonts w:ascii="Calibri" w:cs="Calibri" w:eastAsia="Calibri" w:hAnsi="Calibri"/>
          <w:color w:val="1A1A1A"/>
          <w:sz w:val="21"/>
          <w:szCs w:val="21"/>
        </w:rPr>
        <w:t xml:space="preserve">Grocery's Billing/POS screen, and — per the platform's routing rules — the fallback Billing page for any industry without its own dedicated version.</w:t>
      </w:r>
    </w:p>
    <w:p>
      <w:pPr>
        <w:pStyle w:val="Heading3"/>
        <w:spacing w:after="80" w:before="220"/>
      </w:pPr>
      <w:r>
        <w:rPr>
          <w:rFonts w:ascii="Calibri" w:cs="Calibri" w:eastAsia="Calibri" w:hAnsi="Calibri"/>
          <w:b/>
          <w:bCs/>
          <w:color w:val="195A5A"/>
          <w:sz w:val="24"/>
          <w:szCs w:val="24"/>
        </w:rPr>
        <w:t xml:space="preserve">Grocery Inventory</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industry/grocery/groceryInventory.jsx</w:t>
      </w:r>
    </w:p>
    <w:p>
      <w:pPr>
        <w:spacing w:after="100"/>
      </w:pPr>
      <w:r>
        <w:rPr>
          <w:rFonts w:ascii="Calibri" w:cs="Calibri" w:eastAsia="Calibri" w:hAnsi="Calibri"/>
          <w:color w:val="1A1A1A"/>
          <w:sz w:val="21"/>
          <w:szCs w:val="21"/>
        </w:rPr>
        <w:t xml:space="preserve">Grocery's inventory table (Product, SKU, Category, Subtotal, GST, Total, Total Items), and the fallback default Inventory screen for industries without their own.</w:t>
      </w:r>
    </w:p>
    <w:p>
      <w:pPr>
        <w:pStyle w:val="Heading3"/>
        <w:spacing w:after="80" w:before="220"/>
      </w:pPr>
      <w:r>
        <w:rPr>
          <w:rFonts w:ascii="Calibri" w:cs="Calibri" w:eastAsia="Calibri" w:hAnsi="Calibri"/>
          <w:b/>
          <w:bCs/>
          <w:color w:val="195A5A"/>
          <w:sz w:val="24"/>
          <w:szCs w:val="24"/>
        </w:rPr>
        <w:t xml:space="preserve">Grocery Add Product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industry/grocery/groceryAddProduct.jsx</w:t>
      </w:r>
    </w:p>
    <w:p>
      <w:pPr>
        <w:spacing w:after="100"/>
      </w:pPr>
      <w:r>
        <w:rPr>
          <w:rFonts w:ascii="Calibri" w:cs="Calibri" w:eastAsia="Calibri" w:hAnsi="Calibri"/>
          <w:color w:val="1A1A1A"/>
          <w:sz w:val="21"/>
          <w:szCs w:val="21"/>
        </w:rPr>
        <w:t xml:space="preserve">Add/Edit Product form with a grocery category tree (Food &amp; Staples, Snacks, Beverages, Spices, Oils &amp; Fats, Dairy, Bakery, Ready-to-Eat, Household, Personal Care, Fruits &amp; Vegetables, Meat &amp; Eggs). Per the routing rules, this page — not the generic Add Product screen — is the universal fallback for any industry lacking its own.</w:t>
      </w:r>
    </w:p>
    <w:p>
      <w:pPr>
        <w:pStyle w:val="Heading3"/>
        <w:spacing w:after="80" w:before="220"/>
      </w:pPr>
      <w:r>
        <w:rPr>
          <w:rFonts w:ascii="Calibri" w:cs="Calibri" w:eastAsia="Calibri" w:hAnsi="Calibri"/>
          <w:b/>
          <w:bCs/>
          <w:color w:val="195A5A"/>
          <w:sz w:val="24"/>
          <w:szCs w:val="24"/>
        </w:rPr>
        <w:t xml:space="preserve">Grocery GST Bill</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industry/grocery/groceryGstBill.jsx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The condition intended to route Grocery tenants to this page checks for a different industry value than what Grocery tenants actually have, so in practice Grocery likely falls through to the generic Generate GST Bill screen instead. See the appendix.</w:t>
      </w:r>
    </w:p>
    <w:p>
      <w:pPr>
        <w:spacing w:after="100"/>
      </w:pPr>
      <w:r>
        <w:rPr>
          <w:rFonts w:ascii="Calibri" w:cs="Calibri" w:eastAsia="Calibri" w:hAnsi="Calibri"/>
          <w:color w:val="1A1A1A"/>
          <w:sz w:val="21"/>
          <w:szCs w:val="21"/>
        </w:rPr>
        <w:t xml:space="preserve">Grocery's GST invoice builder, structurally identical to the other industries' GST bill pages.</w:t>
      </w:r>
    </w:p>
    <w:p>
      <w:pPr>
        <w:pStyle w:val="Heading3"/>
        <w:spacing w:after="80" w:before="220"/>
      </w:pPr>
      <w:r>
        <w:rPr>
          <w:rFonts w:ascii="Calibri" w:cs="Calibri" w:eastAsia="Calibri" w:hAnsi="Calibri"/>
          <w:b/>
          <w:bCs/>
          <w:color w:val="195A5A"/>
          <w:sz w:val="24"/>
          <w:szCs w:val="24"/>
        </w:rPr>
        <w:t xml:space="preserve">Grocery Record</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industry/grocery/groceryRecord.jsx</w:t>
      </w:r>
    </w:p>
    <w:p>
      <w:pPr>
        <w:spacing w:after="100"/>
      </w:pPr>
      <w:r>
        <w:rPr>
          <w:rFonts w:ascii="Calibri" w:cs="Calibri" w:eastAsia="Calibri" w:hAnsi="Calibri"/>
          <w:color w:val="1A1A1A"/>
          <w:sz w:val="21"/>
          <w:szCs w:val="21"/>
        </w:rPr>
        <w:t xml:space="preserve">Grocery's Record/History hub, and the fallback default Record screen for any industry without its own dedicated version.</w:t>
      </w:r>
    </w:p>
    <w:p>
      <w:pPr>
        <w:pStyle w:val="Heading3"/>
        <w:spacing w:after="80" w:before="220"/>
      </w:pPr>
      <w:r>
        <w:rPr>
          <w:rFonts w:ascii="Calibri" w:cs="Calibri" w:eastAsia="Calibri" w:hAnsi="Calibri"/>
          <w:b/>
          <w:bCs/>
          <w:color w:val="195A5A"/>
          <w:sz w:val="24"/>
          <w:szCs w:val="24"/>
        </w:rPr>
        <w:t xml:space="preserve">Grocery Barcode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industry/grocery/groceryBarcode.jsx</w:t>
      </w:r>
    </w:p>
    <w:p>
      <w:pPr>
        <w:spacing w:after="100"/>
      </w:pPr>
      <w:r>
        <w:rPr>
          <w:rFonts w:ascii="Calibri" w:cs="Calibri" w:eastAsia="Calibri" w:hAnsi="Calibri"/>
          <w:color w:val="1A1A1A"/>
          <w:sz w:val="21"/>
          <w:szCs w:val="21"/>
        </w:rPr>
        <w:t xml:space="preserve">The "Product Barcodes" all-products grid, used as the fallback default Barcode screen for every industry except Clothing.</w:t>
      </w:r>
    </w:p>
    <w:p>
      <w:pPr>
        <w:pStyle w:val="Heading2"/>
        <w:spacing w:after="120" w:before="280"/>
      </w:pPr>
      <w:r>
        <w:rPr>
          <w:rFonts w:ascii="Calibri" w:cs="Calibri" w:eastAsia="Calibri" w:hAnsi="Calibri"/>
          <w:b/>
          <w:bCs/>
          <w:color w:val="195A5A"/>
          <w:sz w:val="27"/>
          <w:szCs w:val="27"/>
        </w:rPr>
        <w:t xml:space="preserve">7.4 Mobile Industry</w:t>
      </w:r>
    </w:p>
    <w:p>
      <w:pPr>
        <w:spacing w:after="100"/>
      </w:pPr>
      <w:r>
        <w:rPr>
          <w:rFonts w:ascii="Calibri" w:cs="Calibri" w:eastAsia="Calibri" w:hAnsi="Calibri"/>
          <w:color w:val="1A1A1A"/>
          <w:sz w:val="21"/>
          <w:szCs w:val="21"/>
        </w:rPr>
        <w:t xml:space="preserve">Mobile phone and electronics shops, with IMEI-level stock tracking.</w:t>
      </w:r>
    </w:p>
    <w:p>
      <w:pPr>
        <w:pStyle w:val="Heading3"/>
        <w:spacing w:after="80" w:before="220"/>
      </w:pPr>
      <w:r>
        <w:rPr>
          <w:rFonts w:ascii="Calibri" w:cs="Calibri" w:eastAsia="Calibri" w:hAnsi="Calibri"/>
          <w:b/>
          <w:bCs/>
          <w:color w:val="195A5A"/>
          <w:sz w:val="24"/>
          <w:szCs w:val="24"/>
        </w:rPr>
        <w:t xml:space="preserve">Mobile Inventory</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industry/mobile/mobileinventory.jsx</w:t>
      </w:r>
    </w:p>
    <w:p>
      <w:pPr>
        <w:spacing w:after="100"/>
      </w:pPr>
      <w:r>
        <w:rPr>
          <w:rFonts w:ascii="Calibri" w:cs="Calibri" w:eastAsia="Calibri" w:hAnsi="Calibri"/>
          <w:color w:val="1A1A1A"/>
          <w:sz w:val="21"/>
          <w:szCs w:val="21"/>
        </w:rPr>
        <w:t xml:space="preserve">Mobile's actual, actively-used Inventory screen — a device-oriented stock table (deriving brand/model from the product name where needed) with stock-add and supplier management.</w:t>
      </w:r>
    </w:p>
    <w:p>
      <w:pPr>
        <w:pStyle w:val="Heading3"/>
        <w:spacing w:after="80" w:before="220"/>
      </w:pPr>
      <w:r>
        <w:rPr>
          <w:rFonts w:ascii="Calibri" w:cs="Calibri" w:eastAsia="Calibri" w:hAnsi="Calibri"/>
          <w:b/>
          <w:bCs/>
          <w:color w:val="195A5A"/>
          <w:sz w:val="24"/>
          <w:szCs w:val="24"/>
        </w:rPr>
        <w:t xml:space="preserve">Add Mobile Product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industry/mobile/addmobileproduct.jsx</w:t>
      </w:r>
    </w:p>
    <w:p>
      <w:pPr>
        <w:spacing w:after="100"/>
      </w:pPr>
      <w:r>
        <w:rPr>
          <w:rFonts w:ascii="Calibri" w:cs="Calibri" w:eastAsia="Calibri" w:hAnsi="Calibri"/>
          <w:color w:val="1A1A1A"/>
          <w:sz w:val="21"/>
          <w:szCs w:val="21"/>
        </w:rPr>
        <w:t xml:space="preserve">The "Add Mobile" intake form, distinguished by IMEI-centric fields: category (Mobile/Bluetooth/Charger/Headset/Cable/Adapter), IMEI 1/IMEI 2 (required for the Mobile category), RAM, Storage, Color, a per-unit IMEI list for multi-device entry, and a barcode-scanner integration. Purchase/sale GST auto-splits into SGST and CGST, and purchase-on-credit is supported.</w:t>
      </w:r>
    </w:p>
    <w:p>
      <w:pPr>
        <w:pStyle w:val="Heading3"/>
        <w:spacing w:after="80" w:before="220"/>
      </w:pPr>
      <w:r>
        <w:rPr>
          <w:rFonts w:ascii="Calibri" w:cs="Calibri" w:eastAsia="Calibri" w:hAnsi="Calibri"/>
          <w:b/>
          <w:bCs/>
          <w:color w:val="195A5A"/>
          <w:sz w:val="24"/>
          <w:szCs w:val="24"/>
        </w:rPr>
        <w:t xml:space="preserve">Mobile Record</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industry/mobile/mobilerecord.jsx</w:t>
      </w:r>
    </w:p>
    <w:p>
      <w:pPr>
        <w:spacing w:after="100"/>
      </w:pPr>
      <w:r>
        <w:rPr>
          <w:rFonts w:ascii="Calibri" w:cs="Calibri" w:eastAsia="Calibri" w:hAnsi="Calibri"/>
          <w:color w:val="1A1A1A"/>
          <w:sz w:val="21"/>
          <w:szCs w:val="21"/>
        </w:rPr>
        <w:t xml:space="preserve">Mobile's Record/History hub. Notably, it will swap its own tab set for Academy's (Billing/Fee Dues/Cashbook/GST/Students/Trainers) if the tenant's industry string contains "academy"; otherwise it shows the standard Inventory/Buy/Billing/Credit/Cashbook/GST/Customers/Suppliers tabs.</w:t>
      </w:r>
    </w:p>
    <w:p>
      <w:pPr>
        <w:pStyle w:val="Heading3"/>
        <w:spacing w:after="80" w:before="220"/>
      </w:pPr>
      <w:r>
        <w:rPr>
          <w:rFonts w:ascii="Calibri" w:cs="Calibri" w:eastAsia="Calibri" w:hAnsi="Calibri"/>
          <w:b/>
          <w:bCs/>
          <w:color w:val="195A5A"/>
          <w:sz w:val="24"/>
          <w:szCs w:val="24"/>
        </w:rPr>
        <w:t xml:space="preserve">Sub-User Records (Staff Records &amp; Activity)</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industry/mobile/SubUserRecordsPage.jsx</w:t>
      </w:r>
    </w:p>
    <w:p>
      <w:pPr>
        <w:spacing w:after="100"/>
      </w:pPr>
      <w:r>
        <w:rPr>
          <w:rFonts w:ascii="Calibri" w:cs="Calibri" w:eastAsia="Calibri" w:hAnsi="Calibri"/>
          <w:color w:val="1A1A1A"/>
          <w:sz w:val="21"/>
          <w:szCs w:val="21"/>
        </w:rPr>
        <w:t xml:space="preserve">The same staff-activity audit pattern as Academy's version (merged Inventory/Billing/Credit/Cashbook activity with export). Per the platform's routing rules, this page is used generically as the Sub-Users screen for every industry except Academy.</w:t>
      </w:r>
    </w:p>
    <w:p>
      <w:pPr>
        <w:pStyle w:val="Heading3"/>
        <w:spacing w:after="80" w:before="220"/>
      </w:pPr>
      <w:r>
        <w:rPr>
          <w:rFonts w:ascii="Calibri" w:cs="Calibri" w:eastAsia="Calibri" w:hAnsi="Calibri"/>
          <w:b/>
          <w:bCs/>
          <w:color w:val="195A5A"/>
          <w:sz w:val="24"/>
          <w:szCs w:val="24"/>
        </w:rPr>
        <w:t xml:space="preserve">Barcode Page (single product)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industry/mobile/BarcodePage.jsx</w:t>
      </w:r>
    </w:p>
    <w:p>
      <w:pPr>
        <w:spacing w:after="60"/>
      </w:pPr>
      <w:r>
        <w:rPr>
          <w:rFonts w:ascii="Calibri" w:cs="Calibri" w:eastAsia="Calibri" w:hAnsi="Calibri"/>
          <w:b/>
          <w:bCs/>
          <w:color w:val="6B7280"/>
          <w:sz w:val="20"/>
          <w:szCs w:val="20"/>
        </w:rPr>
        <w:t xml:space="preserve">Route: </w:t>
      </w:r>
      <w:r>
        <w:rPr>
          <w:rFonts w:ascii="Calibri" w:cs="Calibri" w:eastAsia="Calibri" w:hAnsi="Calibri"/>
          <w:color w:val="1A1A1A"/>
          <w:sz w:val="20"/>
          <w:szCs w:val="20"/>
        </w:rPr>
        <w:t xml:space="preserve">/barcode/:productId</w:t>
      </w:r>
    </w:p>
    <w:p>
      <w:pPr>
        <w:spacing w:after="100"/>
      </w:pPr>
      <w:r>
        <w:rPr>
          <w:rFonts w:ascii="Calibri" w:cs="Calibri" w:eastAsia="Calibri" w:hAnsi="Calibri"/>
          <w:color w:val="1A1A1A"/>
          <w:sz w:val="21"/>
          <w:szCs w:val="21"/>
        </w:rPr>
        <w:t xml:space="preserve">A single-product barcode detail/print page, reached via a direct application route. It switches its color theme for Clothing tenants and correctly swaps between Device/IMEI/Color labels (for mobile-shop tenants) and generic Product/SKU labels for everyone else.</w:t>
      </w:r>
    </w:p>
    <w:p>
      <w:pPr>
        <w:pStyle w:val="Heading3"/>
        <w:spacing w:after="80" w:before="220"/>
      </w:pPr>
      <w:r>
        <w:rPr>
          <w:rFonts w:ascii="Calibri" w:cs="Calibri" w:eastAsia="Calibri" w:hAnsi="Calibri"/>
          <w:b/>
          <w:bCs/>
          <w:color w:val="195A5A"/>
          <w:sz w:val="24"/>
          <w:szCs w:val="24"/>
        </w:rPr>
        <w:t xml:space="preserve">Mobile Billing (legacy prototype)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industry/mobile/mobilebilling.jsx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Not wired into the application's routing — a Mobile tenant's actual Billing page is Grocery's (the fallback). Appears to be an unused legacy prototype. See the appendix.</w:t>
      </w:r>
    </w:p>
    <w:p>
      <w:pPr>
        <w:spacing w:after="100"/>
      </w:pPr>
      <w:r>
        <w:rPr>
          <w:rFonts w:ascii="Calibri" w:cs="Calibri" w:eastAsia="Calibri" w:hAnsi="Calibri"/>
          <w:color w:val="1A1A1A"/>
          <w:sz w:val="21"/>
          <w:szCs w:val="21"/>
        </w:rPr>
        <w:t xml:space="preserve">A standalone point-of-sale prototype for phone sales that reads and writes directly to Firestore, letting a clerk scan an IMEI into a cart and complete a sale.</w:t>
      </w:r>
    </w:p>
    <w:p>
      <w:pPr>
        <w:pStyle w:val="Heading3"/>
        <w:spacing w:after="80" w:before="220"/>
      </w:pPr>
      <w:r>
        <w:rPr>
          <w:rFonts w:ascii="Calibri" w:cs="Calibri" w:eastAsia="Calibri" w:hAnsi="Calibri"/>
          <w:b/>
          <w:bCs/>
          <w:color w:val="195A5A"/>
          <w:sz w:val="24"/>
          <w:szCs w:val="24"/>
        </w:rPr>
        <w:t xml:space="preserve">All Barcodes Page (dead code)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industry/mobile/AllBarcodesPage.jsx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The entire file, including its export, is commented out — there is no active code here at all, and it is not referenced anywhere. Confirmed dead code.</w:t>
      </w:r>
    </w:p>
    <w:p>
      <w:pPr>
        <w:spacing w:after="100"/>
      </w:pPr>
      <w:r>
        <w:rPr>
          <w:rFonts w:ascii="Calibri" w:cs="Calibri" w:eastAsia="Calibri" w:hAnsi="Calibri"/>
          <w:color w:val="1A1A1A"/>
          <w:sz w:val="21"/>
          <w:szCs w:val="21"/>
        </w:rPr>
        <w:t xml:space="preserve">Intended as an all-products barcode grid for Mobile.</w:t>
      </w:r>
    </w:p>
    <w:p>
      <w:pPr>
        <w:pStyle w:val="Heading2"/>
        <w:spacing w:after="120" w:before="280"/>
      </w:pPr>
      <w:r>
        <w:rPr>
          <w:rFonts w:ascii="Calibri" w:cs="Calibri" w:eastAsia="Calibri" w:hAnsi="Calibri"/>
          <w:b/>
          <w:bCs/>
          <w:color w:val="195A5A"/>
          <w:sz w:val="27"/>
          <w:szCs w:val="27"/>
        </w:rPr>
        <w:t xml:space="preserve">7.5 Pharmacy Industry</w:t>
      </w:r>
    </w:p>
    <w:p>
      <w:pPr>
        <w:spacing w:after="100"/>
      </w:pPr>
      <w:r>
        <w:rPr>
          <w:rFonts w:ascii="Calibri" w:cs="Calibri" w:eastAsia="Calibri" w:hAnsi="Calibri"/>
          <w:color w:val="1A1A1A"/>
          <w:sz w:val="21"/>
          <w:szCs w:val="21"/>
        </w:rPr>
        <w:t xml:space="preserve">Medical stores, with batch/expiry tracking and customer wallet features.</w:t>
      </w:r>
    </w:p>
    <w:p>
      <w:pPr>
        <w:pStyle w:val="Heading3"/>
        <w:spacing w:after="80" w:before="220"/>
      </w:pPr>
      <w:r>
        <w:rPr>
          <w:rFonts w:ascii="Calibri" w:cs="Calibri" w:eastAsia="Calibri" w:hAnsi="Calibri"/>
          <w:b/>
          <w:bCs/>
          <w:color w:val="195A5A"/>
          <w:sz w:val="24"/>
          <w:szCs w:val="24"/>
        </w:rPr>
        <w:t xml:space="preserve">Pharmacy Billing</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industry/Pharmacy/PharmacyBilling.jsx</w:t>
      </w:r>
    </w:p>
    <w:p>
      <w:pPr>
        <w:spacing w:after="100"/>
      </w:pPr>
      <w:r>
        <w:rPr>
          <w:rFonts w:ascii="Calibri" w:cs="Calibri" w:eastAsia="Calibri" w:hAnsi="Calibri"/>
          <w:color w:val="1A1A1A"/>
          <w:sz w:val="21"/>
          <w:szCs w:val="21"/>
        </w:rPr>
        <w:t xml:space="preserve">Pharmacy's Billing/POS screen, built on the shared cart/payment engine, with a pharmacy-specific printed receipt that adds Batch, Manufacture Date, and Expiry Date columns to the usual item/quantity/rate/tax line items.</w:t>
      </w:r>
    </w:p>
    <w:p>
      <w:pPr>
        <w:pStyle w:val="Heading3"/>
        <w:spacing w:after="80" w:before="220"/>
      </w:pPr>
      <w:r>
        <w:rPr>
          <w:rFonts w:ascii="Calibri" w:cs="Calibri" w:eastAsia="Calibri" w:hAnsi="Calibri"/>
          <w:b/>
          <w:bCs/>
          <w:color w:val="195A5A"/>
          <w:sz w:val="24"/>
          <w:szCs w:val="24"/>
        </w:rPr>
        <w:t xml:space="preserve">Pharmacy Inventory</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industry/Pharmacy/PharmacyInventory.jsx</w:t>
      </w:r>
    </w:p>
    <w:p>
      <w:pPr>
        <w:spacing w:after="100"/>
      </w:pPr>
      <w:r>
        <w:rPr>
          <w:rFonts w:ascii="Calibri" w:cs="Calibri" w:eastAsia="Calibri" w:hAnsi="Calibri"/>
          <w:color w:val="1A1A1A"/>
          <w:sz w:val="21"/>
          <w:szCs w:val="21"/>
        </w:rPr>
        <w:t xml:space="preserve">A medicine stock table with pharmacy-specific columns — Brand Name, Medicine Name, Batch No., Expiry Date, Category, Quantity/Unit, Price, Stock — with rows past their expiry date highlighted.</w:t>
      </w:r>
    </w:p>
    <w:p>
      <w:pPr>
        <w:pStyle w:val="Heading3"/>
        <w:spacing w:after="80" w:before="220"/>
      </w:pPr>
      <w:r>
        <w:rPr>
          <w:rFonts w:ascii="Calibri" w:cs="Calibri" w:eastAsia="Calibri" w:hAnsi="Calibri"/>
          <w:b/>
          <w:bCs/>
          <w:color w:val="195A5A"/>
          <w:sz w:val="24"/>
          <w:szCs w:val="24"/>
        </w:rPr>
        <w:t xml:space="preserve">Pharmacy Add Product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industry/Pharmacy/PharmacyAddProduct.jsx</w:t>
      </w:r>
    </w:p>
    <w:p>
      <w:pPr>
        <w:spacing w:after="100"/>
      </w:pPr>
      <w:r>
        <w:rPr>
          <w:rFonts w:ascii="Calibri" w:cs="Calibri" w:eastAsia="Calibri" w:hAnsi="Calibri"/>
          <w:color w:val="1A1A1A"/>
          <w:sz w:val="21"/>
          <w:szCs w:val="21"/>
        </w:rPr>
        <w:t xml:space="preserve">Add/Edit Medicine form with a pharmacy category tree (Tablets, Syrups, Capsules, Injections, Topical, Vitamins &amp; Supplements, Pain Relief, Antibiotics, and more) and pharmacy-only fields — Pharma Company, Drug License Number, Supplier GST, Batch Number, Manufacture Date, and Expiry Date.</w:t>
      </w:r>
    </w:p>
    <w:p>
      <w:pPr>
        <w:pStyle w:val="Heading3"/>
        <w:spacing w:after="80" w:before="220"/>
      </w:pPr>
      <w:r>
        <w:rPr>
          <w:rFonts w:ascii="Calibri" w:cs="Calibri" w:eastAsia="Calibri" w:hAnsi="Calibri"/>
          <w:b/>
          <w:bCs/>
          <w:color w:val="195A5A"/>
          <w:sz w:val="24"/>
          <w:szCs w:val="24"/>
        </w:rPr>
        <w:t xml:space="preserve">Pharmacy Record</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industry/Pharmacy/PharmacyRecord.jsx</w:t>
      </w:r>
    </w:p>
    <w:p>
      <w:pPr>
        <w:spacing w:after="100"/>
      </w:pPr>
      <w:r>
        <w:rPr>
          <w:rFonts w:ascii="Calibri" w:cs="Calibri" w:eastAsia="Calibri" w:hAnsi="Calibri"/>
          <w:color w:val="1A1A1A"/>
          <w:sz w:val="21"/>
          <w:szCs w:val="21"/>
        </w:rPr>
        <w:t xml:space="preserve">Record/History hub built on the shared tabbed pattern, with a pharmacy-only Wallet modal for adjusting a customer's stored wallet balance and loyalty points — a feature not present in the other industries' Record pages.</w:t>
      </w:r>
    </w:p>
    <w:p>
      <w:pPr>
        <w:pStyle w:val="Heading3"/>
        <w:spacing w:after="80" w:before="220"/>
      </w:pPr>
      <w:r>
        <w:rPr>
          <w:rFonts w:ascii="Calibri" w:cs="Calibri" w:eastAsia="Calibri" w:hAnsi="Calibri"/>
          <w:b/>
          <w:bCs/>
          <w:color w:val="195A5A"/>
          <w:sz w:val="24"/>
          <w:szCs w:val="24"/>
        </w:rPr>
        <w:t xml:space="preserve">Pharmacy Add Customer</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industry/Pharmacy/PharmacyAddCustomer.jsx</w:t>
      </w:r>
    </w:p>
    <w:p>
      <w:pPr>
        <w:spacing w:after="100"/>
      </w:pPr>
      <w:r>
        <w:rPr>
          <w:rFonts w:ascii="Calibri" w:cs="Calibri" w:eastAsia="Calibri" w:hAnsi="Calibri"/>
          <w:color w:val="1A1A1A"/>
          <w:sz w:val="21"/>
          <w:szCs w:val="21"/>
        </w:rPr>
        <w:t xml:space="preserve">Pharmacy's own Add Customer screen — per the routing rules, the only industry with a bespoke version. It supports building a multi-item purchase-on-credit record with a computed session-by-session payment schedule.</w:t>
      </w:r>
    </w:p>
    <w:p>
      <w:pPr>
        <w:pStyle w:val="Heading2"/>
        <w:spacing w:after="120" w:before="280"/>
      </w:pPr>
      <w:r>
        <w:rPr>
          <w:rFonts w:ascii="Calibri" w:cs="Calibri" w:eastAsia="Calibri" w:hAnsi="Calibri"/>
          <w:b/>
          <w:bCs/>
          <w:color w:val="195A5A"/>
          <w:sz w:val="27"/>
          <w:szCs w:val="27"/>
        </w:rPr>
        <w:t xml:space="preserve">7.6 Software Development Industry</w:t>
      </w:r>
    </w:p>
    <w:p>
      <w:pPr>
        <w:spacing w:after="100"/>
      </w:pPr>
      <w:r>
        <w:rPr>
          <w:rFonts w:ascii="Calibri" w:cs="Calibri" w:eastAsia="Calibri" w:hAnsi="Calibri"/>
          <w:color w:val="1A1A1A"/>
          <w:sz w:val="21"/>
          <w:szCs w:val="21"/>
        </w:rPr>
        <w:t xml:space="preserve">Software/IT services agencies — clients and service offerings replace physical products and customers.</w:t>
      </w:r>
    </w:p>
    <w:p>
      <w:pPr>
        <w:pStyle w:val="Heading3"/>
        <w:spacing w:after="80" w:before="220"/>
      </w:pPr>
      <w:r>
        <w:rPr>
          <w:rFonts w:ascii="Calibri" w:cs="Calibri" w:eastAsia="Calibri" w:hAnsi="Calibri"/>
          <w:b/>
          <w:bCs/>
          <w:color w:val="195A5A"/>
          <w:sz w:val="24"/>
          <w:szCs w:val="24"/>
        </w:rPr>
        <w:t xml:space="preserve">Software Billing</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industry/SoftwareDevelopment/SoftwareBilling.jsx</w:t>
      </w:r>
    </w:p>
    <w:p>
      <w:pPr>
        <w:spacing w:after="100"/>
      </w:pPr>
      <w:r>
        <w:rPr>
          <w:rFonts w:ascii="Calibri" w:cs="Calibri" w:eastAsia="Calibri" w:hAnsi="Calibri"/>
          <w:color w:val="1A1A1A"/>
          <w:sz w:val="21"/>
          <w:szCs w:val="21"/>
        </w:rPr>
        <w:t xml:space="preserve">A Billing/POS screen adapted for billing services rather than physical stock, using the same cart-and-payment engine (with its own color palette). It retains a barcode/SKU scan-to-cart handler inherited from the shared template even though services are not physically barcoded.</w:t>
      </w:r>
    </w:p>
    <w:p>
      <w:pPr>
        <w:pStyle w:val="Heading3"/>
        <w:spacing w:after="80" w:before="220"/>
      </w:pPr>
      <w:r>
        <w:rPr>
          <w:rFonts w:ascii="Calibri" w:cs="Calibri" w:eastAsia="Calibri" w:hAnsi="Calibri"/>
          <w:b/>
          <w:bCs/>
          <w:color w:val="195A5A"/>
          <w:sz w:val="24"/>
          <w:szCs w:val="24"/>
        </w:rPr>
        <w:t xml:space="preserve">Software Development Inventory</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industry/SoftwareDevelopment/SoftwareDevelopmentInventory.jsx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A code-level typo in this file's delete handler will likely cause an error when a user tries to delete a service — see the appendix.</w:t>
      </w:r>
    </w:p>
    <w:p>
      <w:pPr>
        <w:spacing w:after="100"/>
      </w:pPr>
      <w:r>
        <w:rPr>
          <w:rFonts w:ascii="Calibri" w:cs="Calibri" w:eastAsia="Calibri" w:hAnsi="Calibri"/>
          <w:color w:val="1A1A1A"/>
          <w:sz w:val="21"/>
          <w:szCs w:val="21"/>
        </w:rPr>
        <w:t xml:space="preserve">A dual-view screen toggling between Services (offerings mapped onto Service Name/Code/Category/Duration/Lead/Platform/Rates/Active Clients) and Clients (companies on file).</w:t>
      </w:r>
    </w:p>
    <w:p>
      <w:pPr>
        <w:pStyle w:val="Heading3"/>
        <w:spacing w:after="80" w:before="220"/>
      </w:pPr>
      <w:r>
        <w:rPr>
          <w:rFonts w:ascii="Calibri" w:cs="Calibri" w:eastAsia="Calibri" w:hAnsi="Calibri"/>
          <w:b/>
          <w:bCs/>
          <w:color w:val="195A5A"/>
          <w:sz w:val="24"/>
          <w:szCs w:val="24"/>
        </w:rPr>
        <w:t xml:space="preserve">Add Software Service</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industry/SoftwareDevelopment/AddSoftwareService.jsx</w:t>
      </w:r>
    </w:p>
    <w:p>
      <w:pPr>
        <w:spacing w:after="100"/>
      </w:pPr>
      <w:r>
        <w:rPr>
          <w:rFonts w:ascii="Calibri" w:cs="Calibri" w:eastAsia="Calibri" w:hAnsi="Calibri"/>
          <w:color w:val="1A1A1A"/>
          <w:sz w:val="21"/>
          <w:szCs w:val="21"/>
        </w:rPr>
        <w:t xml:space="preserve">"Add New Service" form capturing Name, an auto-generated SKU, Category, Tech Stack/Platform, Lead/Resource, Cost/Price, Hourly/Daily/Maintenance rates, GST %, Duration, and Description, with GST-inclusive rates recalculated automatically when the tax rate changes.</w:t>
      </w:r>
    </w:p>
    <w:p>
      <w:pPr>
        <w:pStyle w:val="Heading3"/>
        <w:spacing w:after="80" w:before="220"/>
      </w:pPr>
      <w:r>
        <w:rPr>
          <w:rFonts w:ascii="Calibri" w:cs="Calibri" w:eastAsia="Calibri" w:hAnsi="Calibri"/>
          <w:b/>
          <w:bCs/>
          <w:color w:val="195A5A"/>
          <w:sz w:val="24"/>
          <w:szCs w:val="24"/>
        </w:rPr>
        <w:t xml:space="preserve">Add Client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industry/SoftwareDevelopment/AddClient.jsx</w:t>
      </w:r>
    </w:p>
    <w:p>
      <w:pPr>
        <w:spacing w:after="100"/>
      </w:pPr>
      <w:r>
        <w:rPr>
          <w:rFonts w:ascii="Calibri" w:cs="Calibri" w:eastAsia="Calibri" w:hAnsi="Calibri"/>
          <w:color w:val="1A1A1A"/>
          <w:sz w:val="21"/>
          <w:szCs w:val="21"/>
        </w:rPr>
        <w:t xml:space="preserve">A client-intake form distinct from the generic Add Customer page — company and contact details, project name/type (auto-matched to a service's rate and GST%), communication channel, budget, deadline, existing website/domain/hosting status, requirements, and reference sites.</w:t>
      </w:r>
    </w:p>
    <w:p>
      <w:pPr>
        <w:pStyle w:val="Heading3"/>
        <w:spacing w:after="80" w:before="220"/>
      </w:pPr>
      <w:r>
        <w:rPr>
          <w:rFonts w:ascii="Calibri" w:cs="Calibri" w:eastAsia="Calibri" w:hAnsi="Calibri"/>
          <w:b/>
          <w:bCs/>
          <w:color w:val="195A5A"/>
          <w:sz w:val="24"/>
          <w:szCs w:val="24"/>
        </w:rPr>
        <w:t xml:space="preserve">SD Record</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industry/SoftwareDevelopment/SDRecord.jsx</w:t>
      </w:r>
    </w:p>
    <w:p>
      <w:pPr>
        <w:spacing w:after="100"/>
      </w:pPr>
      <w:r>
        <w:rPr>
          <w:rFonts w:ascii="Calibri" w:cs="Calibri" w:eastAsia="Calibri" w:hAnsi="Calibri"/>
          <w:color w:val="1A1A1A"/>
          <w:sz w:val="21"/>
          <w:szCs w:val="21"/>
        </w:rPr>
        <w:t xml:space="preserve">Record/History hub for this industry. It drops the Inventory/Buy Details/Suppliers tabs used elsewhere (services aren't stocked) and instead shows Billing, Credit, Cashbook, GST Invoice, and a Clients tab.</w:t>
      </w:r>
    </w:p>
    <w:p>
      <w:pPr>
        <w:pStyle w:val="Heading3"/>
        <w:spacing w:after="80" w:before="220"/>
      </w:pPr>
      <w:r>
        <w:rPr>
          <w:rFonts w:ascii="Calibri" w:cs="Calibri" w:eastAsia="Calibri" w:hAnsi="Calibri"/>
          <w:b/>
          <w:bCs/>
          <w:color w:val="195A5A"/>
          <w:sz w:val="24"/>
          <w:szCs w:val="24"/>
        </w:rPr>
        <w:t xml:space="preserve">SD GST Bill</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industry/SoftwareDevelopment/SDGstBill.jsx</w:t>
      </w:r>
    </w:p>
    <w:p>
      <w:pPr>
        <w:spacing w:after="100"/>
      </w:pPr>
      <w:r>
        <w:rPr>
          <w:rFonts w:ascii="Calibri" w:cs="Calibri" w:eastAsia="Calibri" w:hAnsi="Calibri"/>
          <w:color w:val="1A1A1A"/>
          <w:sz w:val="21"/>
          <w:szCs w:val="21"/>
        </w:rPr>
        <w:t xml:space="preserve">A GST invoice builder structurally identical to the other industries' GST bill pages, with line items sourced from the service catalog.</w:t>
      </w:r>
    </w:p>
    <w:p>
      <w:r>
        <w:br w:type="page"/>
      </w:r>
    </w:p>
    <w:p>
      <w:pPr>
        <w:pStyle w:val="Heading1"/>
        <w:pBdr>
          <w:bottom w:val="single" w:color="195A5A" w:sz="8" w:space="4"/>
        </w:pBdr>
        <w:spacing w:after="160" w:before="320"/>
      </w:pPr>
      <w:r>
        <w:rPr>
          <w:rFonts w:ascii="Calibri" w:cs="Calibri" w:eastAsia="Calibri" w:hAnsi="Calibri"/>
          <w:b/>
          <w:bCs/>
          <w:color w:val="195A5A"/>
          <w:sz w:val="32"/>
          <w:szCs w:val="32"/>
        </w:rPr>
        <w:t xml:space="preserve">8. Layout &amp; Navigation Structure</w:t>
      </w:r>
    </w:p>
    <w:p>
      <w:pPr>
        <w:spacing w:after="100"/>
      </w:pPr>
      <w:r>
        <w:rPr>
          <w:rFonts w:ascii="Calibri" w:cs="Calibri" w:eastAsia="Calibri" w:hAnsi="Calibri"/>
          <w:color w:val="1A1A1A"/>
          <w:sz w:val="21"/>
          <w:szCs w:val="21"/>
        </w:rPr>
        <w:t xml:space="preserve">These files are not standalone pages — they are the structural shell (sidebar, top bar, navigation) that every page above is rendered inside of. Included here because they define the application's actual navigation menu and because some of them were found to be unused during this review.</w:t>
      </w:r>
    </w:p>
    <w:p>
      <w:pPr>
        <w:pStyle w:val="Heading3"/>
        <w:spacing w:after="80" w:before="220"/>
      </w:pPr>
      <w:r>
        <w:rPr>
          <w:rFonts w:ascii="Calibri" w:cs="Calibri" w:eastAsia="Calibri" w:hAnsi="Calibri"/>
          <w:b/>
          <w:bCs/>
          <w:color w:val="195A5A"/>
          <w:sz w:val="24"/>
          <w:szCs w:val="24"/>
        </w:rPr>
        <w:t xml:space="preserve">Admin Layout (live sidebar shell)</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Layout/BillingLayout/AdminLayout.jsx</w:t>
      </w:r>
    </w:p>
    <w:p>
      <w:pPr>
        <w:spacing w:after="100"/>
      </w:pPr>
      <w:r>
        <w:rPr>
          <w:rFonts w:ascii="Calibri" w:cs="Calibri" w:eastAsia="Calibri" w:hAnsi="Calibri"/>
          <w:color w:val="1A1A1A"/>
          <w:sz w:val="21"/>
          <w:szCs w:val="21"/>
        </w:rPr>
        <w:t xml:space="preserve">The shell wrapping every real page in the application. Renders a collapsible left sidebar whose menu items change based on the tenant's industry, a top bar with a low-stock notification bell, and a logout confirmation modal. This is the layout actually in effect throughout the product.</w:t>
      </w:r>
    </w:p>
    <w:p>
      <w:pPr>
        <w:pStyle w:val="Heading3"/>
        <w:spacing w:after="80" w:before="220"/>
      </w:pPr>
      <w:r>
        <w:rPr>
          <w:rFonts w:ascii="Calibri" w:cs="Calibri" w:eastAsia="Calibri" w:hAnsi="Calibri"/>
          <w:b/>
          <w:bCs/>
          <w:color w:val="195A5A"/>
          <w:sz w:val="24"/>
          <w:szCs w:val="24"/>
        </w:rPr>
        <w:t xml:space="preserve">Top-level Layout / Admin Layout</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Layout/Layout.jsx, Layout/AdminLayout.jsx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That flag is never actually passed, so this second shell never renders in normal operation — dead code. See the appendix.</w:t>
      </w:r>
    </w:p>
    <w:p>
      <w:pPr>
        <w:spacing w:after="100"/>
      </w:pPr>
      <w:r>
        <w:rPr>
          <w:rFonts w:ascii="Calibri" w:cs="Calibri" w:eastAsia="Calibri" w:hAnsi="Calibri"/>
          <w:color w:val="1A1A1A"/>
          <w:sz w:val="21"/>
          <w:szCs w:val="21"/>
        </w:rPr>
        <w:t xml:space="preserve">Layout.jsx is the wrapper mounted around all routes at the top of the application; it would render a second, differently-styled sidebar shell (Layout/AdminLayout.jsx) if given an "isAdmin" flag.</w:t>
      </w:r>
    </w:p>
    <w:p>
      <w:pPr>
        <w:pStyle w:val="Heading3"/>
        <w:spacing w:after="80" w:before="220"/>
      </w:pPr>
      <w:r>
        <w:rPr>
          <w:rFonts w:ascii="Calibri" w:cs="Calibri" w:eastAsia="Calibri" w:hAnsi="Calibri"/>
          <w:b/>
          <w:bCs/>
          <w:color w:val="195A5A"/>
          <w:sz w:val="24"/>
          <w:szCs w:val="24"/>
        </w:rPr>
        <w:t xml:space="preserve">Navigation Bars</w:t>
      </w:r>
    </w:p>
    <w:p>
      <w:pPr>
        <w:spacing w:after="60"/>
      </w:pPr>
      <w:r>
        <w:rPr>
          <w:rFonts w:ascii="Calibri" w:cs="Calibri" w:eastAsia="Calibri" w:hAnsi="Calibri"/>
          <w:b/>
          <w:bCs/>
          <w:color w:val="6B7280"/>
          <w:sz w:val="20"/>
          <w:szCs w:val="20"/>
        </w:rPr>
        <w:t xml:space="preserve">File: </w:t>
      </w:r>
      <w:r>
        <w:rPr>
          <w:rFonts w:ascii="Calibri" w:cs="Calibri" w:eastAsia="Calibri" w:hAnsi="Calibri"/>
          <w:color w:val="1A1A1A"/>
          <w:sz w:val="20"/>
          <w:szCs w:val="20"/>
        </w:rPr>
        <w:t xml:space="preserve">Layout/NavigationBar.jsx, Layout/BillingLayout/NavigationBar.jsx</w:t>
      </w:r>
    </w:p>
    <w:p>
      <w:pPr>
        <w:spacing w:after="60"/>
      </w:pPr>
      <w:r>
        <w:rPr>
          <w:rFonts w:ascii="Calibri" w:cs="Calibri" w:eastAsia="Calibri" w:hAnsi="Calibri"/>
          <w:b/>
          <w:bCs/>
          <w:color w:val="B15C00"/>
          <w:sz w:val="20"/>
          <w:szCs w:val="20"/>
        </w:rPr>
        <w:t xml:space="preserve">Status: </w:t>
      </w:r>
      <w:r>
        <w:rPr>
          <w:rFonts w:ascii="Calibri" w:cs="Calibri" w:eastAsia="Calibri" w:hAnsi="Calibri"/>
          <w:i/>
          <w:iCs/>
          <w:color w:val="B15C00"/>
          <w:sz w:val="20"/>
          <w:szCs w:val="20"/>
        </w:rPr>
        <w:t xml:space="preserve">Neither file is used anywhere in the current application, and one references components it never imports, which would cause an error if it were ever rendered. See the appendix.</w:t>
      </w:r>
    </w:p>
    <w:p>
      <w:pPr>
        <w:spacing w:after="100"/>
      </w:pPr>
      <w:r>
        <w:rPr>
          <w:rFonts w:ascii="Calibri" w:cs="Calibri" w:eastAsia="Calibri" w:hAnsi="Calibri"/>
          <w:color w:val="1A1A1A"/>
          <w:sz w:val="21"/>
          <w:szCs w:val="21"/>
        </w:rPr>
        <w:t xml:space="preserve">Appear to be leftover marketing/navigation bars from an earlier version of the product.</w:t>
      </w:r>
    </w:p>
    <w:p>
      <w:r>
        <w:br w:type="page"/>
      </w:r>
    </w:p>
    <w:p>
      <w:pPr>
        <w:pStyle w:val="Heading1"/>
        <w:pBdr>
          <w:bottom w:val="single" w:color="195A5A" w:sz="8" w:space="4"/>
        </w:pBdr>
        <w:spacing w:after="160" w:before="320"/>
      </w:pPr>
      <w:r>
        <w:rPr>
          <w:rFonts w:ascii="Calibri" w:cs="Calibri" w:eastAsia="Calibri" w:hAnsi="Calibri"/>
          <w:b/>
          <w:bCs/>
          <w:color w:val="195A5A"/>
          <w:sz w:val="32"/>
          <w:szCs w:val="32"/>
        </w:rPr>
        <w:t xml:space="preserve">9. Appendix — Implementation Notes &amp; Observations</w:t>
      </w:r>
    </w:p>
    <w:p>
      <w:pPr>
        <w:spacing w:after="100"/>
      </w:pPr>
      <w:r>
        <w:rPr>
          <w:rFonts w:ascii="Calibri" w:cs="Calibri" w:eastAsia="Calibri" w:hAnsi="Calibri"/>
          <w:color w:val="1A1A1A"/>
          <w:sz w:val="21"/>
          <w:szCs w:val="21"/>
        </w:rPr>
        <w:t xml:space="preserve">While reviewing the actual page code to write accurate purpose descriptions above, the following implementation issues surfaced. They don't affect the accuracy of this documentation but are worth the engineering team's attention.</w:t>
      </w:r>
    </w:p>
    <w:p>
      <w:pPr>
        <w:pStyle w:val="Heading2"/>
        <w:spacing w:after="120" w:before="280"/>
      </w:pPr>
      <w:r>
        <w:rPr>
          <w:rFonts w:ascii="Calibri" w:cs="Calibri" w:eastAsia="Calibri" w:hAnsi="Calibri"/>
          <w:b/>
          <w:bCs/>
          <w:color w:val="195A5A"/>
          <w:sz w:val="27"/>
          <w:szCs w:val="27"/>
        </w:rPr>
        <w:t xml:space="preserve">Dead or orphaned code</w:t>
      </w:r>
    </w:p>
    <w:p>
      <w:pPr>
        <w:pStyle w:val="ListParagraph"/>
        <w:numPr>
          <w:ilvl w:val="0"/>
          <w:numId w:val="2"/>
        </w:numPr>
        <w:spacing w:after="90"/>
      </w:pPr>
      <w:r>
        <w:rPr>
          <w:rFonts w:ascii="Calibri" w:cs="Calibri" w:eastAsia="Calibri" w:hAnsi="Calibri"/>
          <w:color w:val="1A1A1A"/>
          <w:sz w:val="21"/>
          <w:szCs w:val="21"/>
        </w:rPr>
        <w:t xml:space="preserve">components/Billing/Billing.jsx, components/Billing/Inventory.jsx (almost entirely commented out), and components/Billing/record.jsx (a fully-built, 2,989-line screen) are not referenced by any route or router in the application and are never reached at runtime.</w:t>
      </w:r>
    </w:p>
    <w:p>
      <w:pPr>
        <w:pStyle w:val="ListParagraph"/>
        <w:numPr>
          <w:ilvl w:val="0"/>
          <w:numId w:val="2"/>
        </w:numPr>
        <w:spacing w:after="90"/>
      </w:pPr>
      <w:r>
        <w:rPr>
          <w:rFonts w:ascii="Calibri" w:cs="Calibri" w:eastAsia="Calibri" w:hAnsi="Calibri"/>
          <w:color w:val="1A1A1A"/>
          <w:sz w:val="21"/>
          <w:szCs w:val="21"/>
        </w:rPr>
        <w:t xml:space="preserve">industry/mobile/AllBarcodesPage.jsx is entirely commented out, including its export — it has no active code at all.</w:t>
      </w:r>
    </w:p>
    <w:p>
      <w:pPr>
        <w:pStyle w:val="ListParagraph"/>
        <w:numPr>
          <w:ilvl w:val="0"/>
          <w:numId w:val="2"/>
        </w:numPr>
        <w:spacing w:after="90"/>
      </w:pPr>
      <w:r>
        <w:rPr>
          <w:rFonts w:ascii="Calibri" w:cs="Calibri" w:eastAsia="Calibri" w:hAnsi="Calibri"/>
          <w:color w:val="1A1A1A"/>
          <w:sz w:val="21"/>
          <w:szCs w:val="21"/>
        </w:rPr>
        <w:t xml:space="preserve">industry/mobile/mobilebilling.jsx is a separate Firestore-only billing prototype that is not wired into the application's routing; Mobile tenants' actual Billing page is Grocery's.</w:t>
      </w:r>
    </w:p>
    <w:p>
      <w:pPr>
        <w:pStyle w:val="ListParagraph"/>
        <w:numPr>
          <w:ilvl w:val="0"/>
          <w:numId w:val="2"/>
        </w:numPr>
        <w:spacing w:after="90"/>
      </w:pPr>
      <w:r>
        <w:rPr>
          <w:rFonts w:ascii="Calibri" w:cs="Calibri" w:eastAsia="Calibri" w:hAnsi="Calibri"/>
          <w:color w:val="1A1A1A"/>
          <w:sz w:val="21"/>
          <w:szCs w:val="21"/>
        </w:rPr>
        <w:t xml:space="preserve">industry/academy/academy record.jsx (note the space in the filename) is an older, smaller duplicate of academyRecord.jsx — the file the application actually uses — left behind from an earlier draft.</w:t>
      </w:r>
    </w:p>
    <w:p>
      <w:pPr>
        <w:pStyle w:val="ListParagraph"/>
        <w:numPr>
          <w:ilvl w:val="0"/>
          <w:numId w:val="2"/>
        </w:numPr>
        <w:spacing w:after="90"/>
      </w:pPr>
      <w:r>
        <w:rPr>
          <w:rFonts w:ascii="Calibri" w:cs="Calibri" w:eastAsia="Calibri" w:hAnsi="Calibri"/>
          <w:color w:val="1A1A1A"/>
          <w:sz w:val="21"/>
          <w:szCs w:val="21"/>
        </w:rPr>
        <w:t xml:space="preserve">Layout/Layout.jsx never passes the flag needed to render Layout/AdminLayout.jsx, and Layout/NavigationBar.jsx / Layout/BillingLayout/NavigationBar.jsx are unused; the former also references components it never imports.</w:t>
      </w:r>
    </w:p>
    <w:p>
      <w:pPr>
        <w:pStyle w:val="Heading2"/>
        <w:spacing w:after="120" w:before="280"/>
      </w:pPr>
      <w:r>
        <w:rPr>
          <w:rFonts w:ascii="Calibri" w:cs="Calibri" w:eastAsia="Calibri" w:hAnsi="Calibri"/>
          <w:b/>
          <w:bCs/>
          <w:color w:val="195A5A"/>
          <w:sz w:val="27"/>
          <w:szCs w:val="27"/>
        </w:rPr>
        <w:t xml:space="preserve">Mislabeled or duplicate files</w:t>
      </w:r>
    </w:p>
    <w:p>
      <w:pPr>
        <w:pStyle w:val="ListParagraph"/>
        <w:numPr>
          <w:ilvl w:val="0"/>
          <w:numId w:val="2"/>
        </w:numPr>
        <w:spacing w:after="90"/>
      </w:pPr>
      <w:r>
        <w:rPr>
          <w:rFonts w:ascii="Calibri" w:cs="Calibri" w:eastAsia="Calibri" w:hAnsi="Calibri"/>
          <w:color w:val="1A1A1A"/>
          <w:sz w:val="21"/>
          <w:szCs w:val="21"/>
        </w:rPr>
        <w:t xml:space="preserve">components/Billing/BillingHistory.jsx contains no billing-history code — it is an unused, differently-styled copy of the Change Password flow, making three separate implementations of password reset across the codebase (Auth/forgot.jsx, Auth/ChangePassword.jsx, and this file).</w:t>
      </w:r>
    </w:p>
    <w:p>
      <w:pPr>
        <w:pStyle w:val="ListParagraph"/>
        <w:numPr>
          <w:ilvl w:val="0"/>
          <w:numId w:val="2"/>
        </w:numPr>
        <w:spacing w:after="90"/>
      </w:pPr>
      <w:r>
        <w:rPr>
          <w:rFonts w:ascii="Calibri" w:cs="Calibri" w:eastAsia="Calibri" w:hAnsi="Calibri"/>
          <w:color w:val="1A1A1A"/>
          <w:sz w:val="21"/>
          <w:szCs w:val="21"/>
        </w:rPr>
        <w:t xml:space="preserve">components/Auth/SuperAdminLogin.jsx and components/Auth/SuperAdminRegister.jsx are fully built but are not registered as routes, even though the SuperAdmin console actively redirects to the login screen's URL when a session is missing — that redirect currently has nowhere to go.</w:t>
      </w:r>
    </w:p>
    <w:p>
      <w:pPr>
        <w:pStyle w:val="Heading2"/>
        <w:spacing w:after="120" w:before="280"/>
      </w:pPr>
      <w:r>
        <w:rPr>
          <w:rFonts w:ascii="Calibri" w:cs="Calibri" w:eastAsia="Calibri" w:hAnsi="Calibri"/>
          <w:b/>
          <w:bCs/>
          <w:color w:val="195A5A"/>
          <w:sz w:val="27"/>
          <w:szCs w:val="27"/>
        </w:rPr>
        <w:t xml:space="preserve">Routing logic issues</w:t>
      </w:r>
    </w:p>
    <w:p>
      <w:pPr>
        <w:pStyle w:val="ListParagraph"/>
        <w:numPr>
          <w:ilvl w:val="0"/>
          <w:numId w:val="2"/>
        </w:numPr>
        <w:spacing w:after="90"/>
      </w:pPr>
      <w:r>
        <w:rPr>
          <w:rFonts w:ascii="Calibri" w:cs="Calibri" w:eastAsia="Calibri" w:hAnsi="Calibri"/>
          <w:color w:val="1A1A1A"/>
          <w:sz w:val="21"/>
          <w:szCs w:val="21"/>
        </w:rPr>
        <w:t xml:space="preserve">industry/grocery/groceryGstBill.jsx is intended to be Grocery's GST invoice page, but the router condition meant to select it checks for a different industry value than what Grocery tenants actually have — so Grocery tenants likely see the generic Generate GST Bill screen instead without this being obvious from the code.</w:t>
      </w:r>
    </w:p>
    <w:p>
      <w:pPr>
        <w:pStyle w:val="ListParagraph"/>
        <w:numPr>
          <w:ilvl w:val="0"/>
          <w:numId w:val="2"/>
        </w:numPr>
        <w:spacing w:after="90"/>
      </w:pPr>
      <w:r>
        <w:rPr>
          <w:rFonts w:ascii="Calibri" w:cs="Calibri" w:eastAsia="Calibri" w:hAnsi="Calibri"/>
          <w:color w:val="1A1A1A"/>
          <w:sz w:val="21"/>
          <w:szCs w:val="21"/>
        </w:rPr>
        <w:t xml:space="preserve">industry/Clothing/ClothingBarcode.jsx's logic for switching between Device/IMEI fields and generic Product/SKU fields is based on a condition that never matches a real Clothing tenant, so the page always shows the IMEI/Color fields intended for the Mobile industry. industry/mobile/BarcodePage.jsx implements the equivalent check correctly, suggesting the two pages were cloned from the same template and never reconciled.</w:t>
      </w:r>
    </w:p>
    <w:p>
      <w:pPr>
        <w:pStyle w:val="ListParagraph"/>
        <w:numPr>
          <w:ilvl w:val="0"/>
          <w:numId w:val="2"/>
        </w:numPr>
        <w:spacing w:after="90"/>
      </w:pPr>
      <w:r>
        <w:rPr>
          <w:rFonts w:ascii="Calibri" w:cs="Calibri" w:eastAsia="Calibri" w:hAnsi="Calibri"/>
          <w:color w:val="1A1A1A"/>
          <w:sz w:val="21"/>
          <w:szCs w:val="21"/>
        </w:rPr>
        <w:t xml:space="preserve">industry/SoftwareDevelopment/SoftwareDevelopmentInventory.jsx has a stray character in its delete handler that would likely cause an error the moment a user tries to delete a service.</w:t>
      </w:r>
    </w:p>
    <w:p>
      <w:pPr>
        <w:pStyle w:val="Heading2"/>
        <w:spacing w:after="120" w:before="280"/>
      </w:pPr>
      <w:r>
        <w:rPr>
          <w:rFonts w:ascii="Calibri" w:cs="Calibri" w:eastAsia="Calibri" w:hAnsi="Calibri"/>
          <w:b/>
          <w:bCs/>
          <w:color w:val="195A5A"/>
          <w:sz w:val="27"/>
          <w:szCs w:val="27"/>
        </w:rPr>
        <w:t xml:space="preserve">Data-source inconsistency</w:t>
      </w:r>
    </w:p>
    <w:p>
      <w:pPr>
        <w:pStyle w:val="ListParagraph"/>
        <w:numPr>
          <w:ilvl w:val="0"/>
          <w:numId w:val="2"/>
        </w:numPr>
        <w:spacing w:after="90"/>
      </w:pPr>
      <w:r>
        <w:rPr>
          <w:rFonts w:ascii="Calibri" w:cs="Calibri" w:eastAsia="Calibri" w:hAnsi="Calibri"/>
          <w:color w:val="1A1A1A"/>
          <w:sz w:val="21"/>
          <w:szCs w:val="21"/>
        </w:rPr>
        <w:t xml:space="preserve">components/Billing/BarcodeBilling.jsx (the live Barcode Billing screen) still reads its product and sales data from Firestore, while Add Product, Reports, the Dashboard, Credit Ledger, and GST billing have moved to the backend REST API. Products entered through the current Add Product flow may not show up when scanning barcodes at checkout.</w:t>
      </w:r>
    </w:p>
    <w:p>
      <w:pPr>
        <w:pStyle w:val="Heading2"/>
        <w:spacing w:after="120" w:before="280"/>
      </w:pPr>
      <w:r>
        <w:rPr>
          <w:rFonts w:ascii="Calibri" w:cs="Calibri" w:eastAsia="Calibri" w:hAnsi="Calibri"/>
          <w:b/>
          <w:bCs/>
          <w:color w:val="195A5A"/>
          <w:sz w:val="27"/>
          <w:szCs w:val="27"/>
        </w:rPr>
        <w:t xml:space="preserve">Incomplete or placeholder functionality</w:t>
      </w:r>
    </w:p>
    <w:p>
      <w:pPr>
        <w:pStyle w:val="ListParagraph"/>
        <w:numPr>
          <w:ilvl w:val="0"/>
          <w:numId w:val="2"/>
        </w:numPr>
        <w:spacing w:after="90"/>
      </w:pPr>
      <w:r>
        <w:rPr>
          <w:rFonts w:ascii="Calibri" w:cs="Calibri" w:eastAsia="Calibri" w:hAnsi="Calibri"/>
          <w:color w:val="1A1A1A"/>
          <w:sz w:val="21"/>
          <w:szCs w:val="21"/>
        </w:rPr>
        <w:t xml:space="preserve">pages/Profile.jsx and pages/Branding.jsx are both empty files — not yet implemented.</w:t>
      </w:r>
    </w:p>
    <w:p>
      <w:pPr>
        <w:pStyle w:val="ListParagraph"/>
        <w:numPr>
          <w:ilvl w:val="0"/>
          <w:numId w:val="2"/>
        </w:numPr>
        <w:spacing w:after="90"/>
      </w:pPr>
      <w:r>
        <w:rPr>
          <w:rFonts w:ascii="Calibri" w:cs="Calibri" w:eastAsia="Calibri" w:hAnsi="Calibri"/>
          <w:color w:val="1A1A1A"/>
          <w:sz w:val="21"/>
          <w:szCs w:val="21"/>
        </w:rPr>
        <w:t xml:space="preserve">components/Auth/SubscriptionRoute.jsx's subscription-reminder emails are sent to a literal placeholder URL and will not actually send.</w:t>
      </w:r>
    </w:p>
    <w:p>
      <w:pPr>
        <w:pStyle w:val="ListParagraph"/>
        <w:numPr>
          <w:ilvl w:val="0"/>
          <w:numId w:val="2"/>
        </w:numPr>
        <w:spacing w:after="90"/>
      </w:pPr>
      <w:r>
        <w:rPr>
          <w:rFonts w:ascii="Calibri" w:cs="Calibri" w:eastAsia="Calibri" w:hAnsi="Calibri"/>
          <w:color w:val="1A1A1A"/>
          <w:sz w:val="21"/>
          <w:szCs w:val="21"/>
        </w:rPr>
        <w:t xml:space="preserve">The SuperAdmin console's bulk-delete-companies action is explicitly disabled in the UI pending backend support.</w:t>
      </w:r>
    </w:p>
    <w:p>
      <w:pPr>
        <w:pStyle w:val="Heading2"/>
        <w:spacing w:after="120" w:before="280"/>
      </w:pPr>
      <w:r>
        <w:rPr>
          <w:rFonts w:ascii="Calibri" w:cs="Calibri" w:eastAsia="Calibri" w:hAnsi="Calibri"/>
          <w:b/>
          <w:bCs/>
          <w:color w:val="195A5A"/>
          <w:sz w:val="27"/>
          <w:szCs w:val="27"/>
        </w:rPr>
        <w:t xml:space="preserve">Other</w:t>
      </w:r>
    </w:p>
    <w:p>
      <w:pPr>
        <w:pStyle w:val="ListParagraph"/>
        <w:numPr>
          <w:ilvl w:val="0"/>
          <w:numId w:val="2"/>
        </w:numPr>
        <w:spacing w:after="90"/>
      </w:pPr>
      <w:r>
        <w:rPr>
          <w:rFonts w:ascii="Calibri" w:cs="Calibri" w:eastAsia="Calibri" w:hAnsi="Calibri"/>
          <w:color w:val="1A1A1A"/>
          <w:sz w:val="21"/>
          <w:szCs w:val="21"/>
        </w:rPr>
        <w:t xml:space="preserve">The Trainers page is registered as both a public and a protected route (pointing to the same screen either way) — redundant but not harmful.</w:t>
      </w:r>
    </w:p>
    <w:p>
      <w:pPr>
        <w:pStyle w:val="ListParagraph"/>
        <w:numPr>
          <w:ilvl w:val="0"/>
          <w:numId w:val="2"/>
        </w:numPr>
        <w:spacing w:after="90"/>
      </w:pPr>
      <w:r>
        <w:rPr>
          <w:rFonts w:ascii="Calibri" w:cs="Calibri" w:eastAsia="Calibri" w:hAnsi="Calibri"/>
          <w:color w:val="1A1A1A"/>
          <w:sz w:val="21"/>
          <w:szCs w:val="21"/>
        </w:rPr>
        <w:t xml:space="preserve">Several industry Add Product pages (Clothing, Grocery) carry unused leftover fields and constants copied from a shared template (e.g. a clothing category list still named as if it were grocery data, and unused mobile-specific field branches).</w:t>
      </w:r>
    </w:p>
    <w:p>
      <w:pPr>
        <w:pStyle w:val="ListParagraph"/>
        <w:numPr>
          <w:ilvl w:val="0"/>
          <w:numId w:val="2"/>
        </w:numPr>
        <w:spacing w:after="90"/>
      </w:pPr>
      <w:r>
        <w:rPr>
          <w:rFonts w:ascii="Calibri" w:cs="Calibri" w:eastAsia="Calibri" w:hAnsi="Calibri"/>
          <w:color w:val="1A1A1A"/>
          <w:sz w:val="21"/>
          <w:szCs w:val="21"/>
        </w:rPr>
        <w:t xml:space="preserve">Because the Billing, GST Bill, and Record pages are cloned per industry rather than built as one shared, configurable component, a fix to shared logic (e.g. tax calculation) needs to be applied manually across all six industry versions rather than in one place.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SwordNex Billing — Project Documentation</dc:title>
  <dc:creator>SwordNex Technologies</dc:creator>
  <dc:description>Project Documentation — Application Page Directory &amp; Purpose Reference</dc:description>
  <cp:lastModifiedBy>Un-named</cp:lastModifiedBy>
  <cp:revision>1</cp:revision>
  <dcterms:created xsi:type="dcterms:W3CDTF">2026-09-07T10:00:32.718Z</dcterms:created>
  <dcterms:modified xsi:type="dcterms:W3CDTF">2026-09-07T10:00:32.718Z</dcterms:modified>
</cp:coreProperties>
</file>

<file path=docProps/custom.xml><?xml version="1.0" encoding="utf-8"?>
<Properties xmlns="http://schemas.openxmlformats.org/officeDocument/2006/custom-properties" xmlns:vt="http://schemas.openxmlformats.org/officeDocument/2006/docPropsVTypes"/>
</file>