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Document 1 — ServiceNow Incident Management &amp; Testing</w:t>
      </w:r>
    </w:p>
    <w:p>
      <w:pPr>
        <w:jc w:val="center"/>
      </w:pPr>
      <w:r>
        <w:rPr>
          <w:i/>
          <w:sz w:val="20"/>
        </w:rPr>
        <w:t>Project Testing / Sample Enterprise Documentation</w:t>
      </w:r>
    </w:p>
    <w:p>
      <w:pPr>
        <w:pStyle w:val="Heading1"/>
      </w:pPr>
      <w:r>
        <w:t>Purpose</w:t>
      </w:r>
    </w:p>
    <w:p>
      <w:r>
        <w:t>Provide realistic sample Incident Management records and test scenarios for a Service Desk / IT Operations project. The examples cover logging, categorization, impact/urgency, priority, assignment, SLA handling, investigation, escalation, resolution and closure.</w:t>
      </w:r>
    </w:p>
    <w:p>
      <w:r>
        <w:t>Note: All ticket numbers, hostnames, users, IPs, business names and timestamps below are fictional sample data designed to resemble enterprise ITSM/Service Desk records. They must be replaced with organization-approved values before operational use.</w:t>
      </w:r>
    </w:p>
    <w:p>
      <w:pPr>
        <w:pStyle w:val="Heading1"/>
      </w:pPr>
      <w:r>
        <w:t>1. Incident Lifecycle</w:t>
      </w:r>
    </w:p>
    <w:p>
      <w:r>
        <w:t>Typical flow: New → Assigned → In Progress → Pending (when awaiting information/vendor/user) → Resolved → Closed. Organizations may customize states and SLA rules.</w:t>
      </w:r>
    </w:p>
    <w:p>
      <w:pPr>
        <w:pStyle w:val="Heading1"/>
      </w:pPr>
      <w:r>
        <w:t>2. Sample Incident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shd w:fill="D9EAF7"/>
          </w:tcPr>
          <w:p>
            <w:r/>
            <w:r>
              <w:rPr>
                <w:b/>
                <w:sz w:val="18"/>
              </w:rPr>
              <w:t>Incident</w:t>
            </w:r>
          </w:p>
        </w:tc>
        <w:tc>
          <w:tcPr>
            <w:tcW w:type="dxa" w:w="1110"/>
            <w:vAlign w:val="center"/>
            <w:shd w:fill="D9EAF7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110"/>
            <w:vAlign w:val="center"/>
            <w:shd w:fill="D9EAF7"/>
          </w:tcPr>
          <w:p>
            <w:r/>
            <w:r>
              <w:rPr>
                <w:b/>
                <w:sz w:val="18"/>
              </w:rPr>
              <w:t>Subcategory</w:t>
            </w:r>
          </w:p>
        </w:tc>
        <w:tc>
          <w:tcPr>
            <w:tcW w:type="dxa" w:w="1110"/>
            <w:vAlign w:val="center"/>
            <w:shd w:fill="D9EAF7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1110"/>
            <w:vAlign w:val="center"/>
            <w:shd w:fill="D9EAF7"/>
          </w:tcPr>
          <w:p>
            <w:r/>
            <w:r>
              <w:rPr>
                <w:b/>
                <w:sz w:val="18"/>
              </w:rPr>
              <w:t>Impact/Urgency</w:t>
            </w:r>
          </w:p>
        </w:tc>
        <w:tc>
          <w:tcPr>
            <w:tcW w:type="dxa" w:w="1110"/>
            <w:vAlign w:val="center"/>
            <w:shd w:fill="D9EAF7"/>
          </w:tcPr>
          <w:p>
            <w:r/>
            <w:r>
              <w:rPr>
                <w:b/>
                <w:sz w:val="18"/>
              </w:rPr>
              <w:t>Assignment Group</w:t>
            </w:r>
          </w:p>
        </w:tc>
        <w:tc>
          <w:tcPr>
            <w:tcW w:type="dxa" w:w="1110"/>
            <w:vAlign w:val="center"/>
            <w:shd w:fill="D9EAF7"/>
          </w:tcPr>
          <w:p>
            <w:r/>
            <w:r>
              <w:rPr>
                <w:b/>
                <w:sz w:val="18"/>
              </w:rPr>
              <w:t>Short Description</w:t>
            </w:r>
          </w:p>
        </w:tc>
        <w:tc>
          <w:tcPr>
            <w:tcW w:type="dxa" w:w="1110"/>
            <w:vAlign w:val="center"/>
            <w:shd w:fill="D9EAF7"/>
          </w:tcPr>
          <w:p>
            <w:r/>
            <w:r>
              <w:rPr>
                <w:b/>
                <w:sz w:val="18"/>
              </w:rPr>
              <w:t>Investigation Notes</w:t>
            </w:r>
          </w:p>
        </w:tc>
        <w:tc>
          <w:tcPr>
            <w:tcW w:type="dxa" w:w="1110"/>
            <w:vAlign w:val="center"/>
            <w:shd w:fill="D9EAF7"/>
          </w:tcPr>
          <w:p>
            <w:r/>
            <w:r>
              <w:rPr>
                <w:b/>
                <w:sz w:val="18"/>
              </w:rPr>
              <w:t>Root Cause / Finding</w:t>
            </w:r>
          </w:p>
        </w:tc>
        <w:tc>
          <w:tcPr>
            <w:tcW w:type="dxa" w:w="1110"/>
            <w:vAlign w:val="center"/>
            <w:shd w:fill="D9EAF7"/>
          </w:tcPr>
          <w:p>
            <w:r/>
            <w:r>
              <w:rPr>
                <w:b/>
                <w:sz w:val="18"/>
              </w:rPr>
              <w:t>Resolution</w:t>
            </w:r>
          </w:p>
        </w:tc>
        <w:tc>
          <w:tcPr>
            <w:tcW w:type="dxa" w:w="1110"/>
            <w:vAlign w:val="center"/>
            <w:shd w:fill="D9EAF7"/>
          </w:tcPr>
          <w:p>
            <w:r/>
            <w:r>
              <w:rPr>
                <w:b/>
                <w:sz w:val="18"/>
              </w:rPr>
              <w:t>State</w:t>
            </w:r>
          </w:p>
        </w:tc>
      </w:tr>
      <w:tr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INC0012458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Email &amp; Collaboration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Outlook / Mailbox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Messaging L2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Users unable to send external email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550 5.7.1 relay denied observed; issue affected one business unit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Messaging team identified outbound connector policy mismatch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Connector policy corrected; test email successful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Resolved</w:t>
            </w:r>
          </w:p>
        </w:tc>
      </w:tr>
      <w:tr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INC0012461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Network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VPN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Network Operations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Remote users cannot connect to corporate VPN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VPN authentication succeeds but tunnel fails for multiple users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Firewall cluster showed exhausted session capacity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Sessions cleared and capacity restored; 25-user validation completed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Resolved</w:t>
            </w:r>
          </w:p>
        </w:tc>
      </w:tr>
      <w:tr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INC0012467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Hardware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Laptop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EU Workplace Support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Laptop docking station not detecting external monitors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Both monitors intermittently disconnect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Dock firmware outdated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Firmware updated and monitors validated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Resolved</w:t>
            </w:r>
          </w:p>
        </w:tc>
      </w:tr>
      <w:tr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INC0012472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Application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Finance Portal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Application Support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Finance portal returns HTTP 503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Multiple users affected; web tier health checks failed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Application pool reached connection limit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Pool recycled and connection limit corrected; monitoring normal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Resolved</w:t>
            </w:r>
          </w:p>
        </w:tc>
      </w:tr>
      <w:tr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INC0012480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Access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MFA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IAM Service Desk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User not receiving MFA push notification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Password works; push not received on registered device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Stale authenticator registration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MFA registration reset and user re-enrolled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Resolved</w:t>
            </w:r>
          </w:p>
        </w:tc>
      </w:tr>
      <w:tr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INC0012491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Network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DNS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Network Operations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Internal application hostname not resolving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IP access works but FQDN fails for branch users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DNS forwarder configuration issue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Forwarder corrected and cache flushed; nslookup successful</w:t>
            </w:r>
          </w:p>
        </w:tc>
        <w:tc>
          <w:tcPr>
            <w:tcW w:type="dxa" w:w="1110"/>
            <w:vAlign w:val="center"/>
          </w:tcPr>
          <w:p>
            <w:r/>
            <w:r>
              <w:rPr>
                <w:b w:val="0"/>
                <w:sz w:val="18"/>
              </w:rPr>
              <w:t>Resolved</w:t>
            </w:r>
          </w:p>
        </w:tc>
      </w:tr>
    </w:tbl>
    <w:p>
      <w:pPr>
        <w:pStyle w:val="Heading1"/>
      </w:pPr>
      <w:r>
        <w:t>3. Incident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3"/>
        <w:gridCol w:w="3053"/>
        <w:gridCol w:w="3053"/>
        <w:gridCol w:w="3053"/>
      </w:tblGrid>
      <w:tr>
        <w:tc>
          <w:tcPr>
            <w:tcW w:type="dxa" w:w="3053"/>
            <w:vAlign w:val="center"/>
            <w:shd w:fill="D9EAF7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3053"/>
            <w:vAlign w:val="center"/>
            <w:shd w:fill="D9EAF7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3053"/>
            <w:vAlign w:val="center"/>
            <w:shd w:fill="D9EAF7"/>
          </w:tcPr>
          <w:p>
            <w:r/>
            <w:r>
              <w:rPr>
                <w:b/>
                <w:sz w:val="18"/>
              </w:rPr>
              <w:t>Test Action</w:t>
            </w:r>
          </w:p>
        </w:tc>
        <w:tc>
          <w:tcPr>
            <w:tcW w:type="dxa" w:w="3053"/>
            <w:vAlign w:val="center"/>
            <w:shd w:fill="D9EAF7"/>
          </w:tcPr>
          <w:p>
            <w:r/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SN-INC-001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Create Incident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Create ticket from Service Desk portal with mandatory fields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Unique incident number generated; caller, category, impact, urgency and description saved</w:t>
            </w:r>
          </w:p>
        </w:tc>
      </w:tr>
      <w:tr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SN-INC-002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Priority Calculation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Set Impact=High and Urgency=High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Priority becomes the organization's configured highest priority</w:t>
            </w:r>
          </w:p>
        </w:tc>
      </w:tr>
      <w:tr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SN-INC-003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Assignment Rule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Create Category=Network, Subcategory=VPN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Ticket routes to configured Network/VPN support group</w:t>
            </w:r>
          </w:p>
        </w:tc>
      </w:tr>
      <w:tr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SN-INC-004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SLA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Create P2 incident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Correct response/resolution SLA attaches according to project configuration</w:t>
            </w:r>
          </w:p>
        </w:tc>
      </w:tr>
      <w:tr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SN-INC-005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Escalation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Allow ticket to approach SLA threshold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Notification/escalation occurs according to configured policy</w:t>
            </w:r>
          </w:p>
        </w:tc>
      </w:tr>
      <w:tr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SN-INC-006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Work Notes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Technician adds internal troubleshooting notes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Notes are stored in activity history and visibility follows configured role rules</w:t>
            </w:r>
          </w:p>
        </w:tc>
      </w:tr>
      <w:tr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SN-INC-007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User Communication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Add customer-visible update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Caller receives configured notification or portal update</w:t>
            </w:r>
          </w:p>
        </w:tc>
      </w:tr>
      <w:tr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SN-INC-008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Resolution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Enter resolution code and resolution notes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Required closure information is captured and state changes to Resolved</w:t>
            </w:r>
          </w:p>
        </w:tc>
      </w:tr>
      <w:tr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SN-INC-009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Reopen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Reopen a resolved incident within allowed window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Ticket returns to configured active state and assignment workflow applies</w:t>
            </w:r>
          </w:p>
        </w:tc>
      </w:tr>
      <w:tr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SN-INC-010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Duplicate / Related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Create a second incident for same outage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Records can be related/linked according to project configuration</w:t>
            </w:r>
          </w:p>
        </w:tc>
      </w:tr>
    </w:tbl>
    <w:p>
      <w:pPr>
        <w:pStyle w:val="Heading1"/>
      </w:pPr>
      <w:r>
        <w:t>4. Sample Major Incident</w:t>
      </w:r>
    </w:p>
    <w:p>
      <w:r>
        <w:t>MI000327 — Corporate VPN outage. Start: 09:12 IST. Impact: approximately 1,200 remote users. Incident coordinator opens a major-incident bridge, assigns Network Operations and IAM teams, posts periodic stakeholder updates, records timeline, captures workaround, links child incidents, and closes only after service validation. A Problem record should be considered if a recurring/root-cause investigation is required.</w:t>
      </w:r>
    </w:p>
    <w:p>
      <w:pPr>
        <w:pStyle w:val="Heading1"/>
      </w:pPr>
      <w:r>
        <w:t>5. Service Desk Validation Checklist</w:t>
      </w:r>
    </w:p>
    <w:p>
      <w:pPr>
        <w:pStyle w:val="ListBullet"/>
      </w:pPr>
      <w:r>
        <w:t>Caller and affected service identified</w:t>
      </w:r>
    </w:p>
    <w:p>
      <w:pPr>
        <w:pStyle w:val="ListBullet"/>
      </w:pPr>
      <w:r>
        <w:t>Business impact recorded</w:t>
      </w:r>
    </w:p>
    <w:p>
      <w:pPr>
        <w:pStyle w:val="ListBullet"/>
      </w:pPr>
      <w:r>
        <w:t>Category/subcategory accurate</w:t>
      </w:r>
    </w:p>
    <w:p>
      <w:pPr>
        <w:pStyle w:val="ListBullet"/>
      </w:pPr>
      <w:r>
        <w:t>Impact and urgency justified</w:t>
      </w:r>
    </w:p>
    <w:p>
      <w:pPr>
        <w:pStyle w:val="ListBullet"/>
      </w:pPr>
      <w:r>
        <w:t>Correct assignment group selected</w:t>
      </w:r>
    </w:p>
    <w:p>
      <w:pPr>
        <w:pStyle w:val="ListBullet"/>
      </w:pPr>
      <w:r>
        <w:t>SLA attached and monitored</w:t>
      </w:r>
    </w:p>
    <w:p>
      <w:pPr>
        <w:pStyle w:val="ListBullet"/>
      </w:pPr>
      <w:r>
        <w:t>Troubleshooting steps documented</w:t>
      </w:r>
    </w:p>
    <w:p>
      <w:pPr>
        <w:pStyle w:val="ListBullet"/>
      </w:pPr>
      <w:r>
        <w:t>User communication recorded</w:t>
      </w:r>
    </w:p>
    <w:p>
      <w:pPr>
        <w:pStyle w:val="ListBullet"/>
      </w:pPr>
      <w:r>
        <w:t>Resolution and closure codes completed</w:t>
      </w:r>
    </w:p>
    <w:p>
      <w:pPr>
        <w:pStyle w:val="ListBullet"/>
      </w:pPr>
      <w:r>
        <w:t>Related Problem/Change/KB linked where applicable</w:t>
      </w:r>
    </w:p>
    <w:p>
      <w:pPr>
        <w:pStyle w:val="Heading1"/>
      </w:pPr>
      <w:r>
        <w:t>6. Reference Basis</w:t>
      </w:r>
    </w:p>
    <w:p>
      <w:r>
        <w:t>The structure follows common ServiceNow/ITIL incident-management practices: log, classify, prioritize, assign/escalate, investigate, resolve and close; ServiceNow also emphasizes complete records, clean categorization, standard solutions and maintained knowledge content.</w:t>
      </w:r>
    </w:p>
    <w:sectPr w:rsidR="00FC693F" w:rsidRPr="0006063C" w:rsidSect="00034616">
      <w:pgSz w:w="12240" w:h="15840"/>
      <w:pgMar w:top="12" w:right="13" w:bottom="12" w:left="1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