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Document 3 — Service Desk Knowledge Base &amp; Support Guide</w:t>
      </w:r>
    </w:p>
    <w:p>
      <w:pPr>
        <w:jc w:val="center"/>
      </w:pPr>
      <w:r>
        <w:rPr>
          <w:i/>
          <w:sz w:val="20"/>
        </w:rPr>
        <w:t>Project Testing / Sample Enterprise Documentation</w:t>
      </w:r>
    </w:p>
    <w:p>
      <w:pPr>
        <w:pStyle w:val="Heading1"/>
      </w:pPr>
      <w:r>
        <w:t>Purpose</w:t>
      </w:r>
    </w:p>
    <w:p>
      <w:r>
        <w:t>Create realistic KB-style content for L1 Service Desk agents. Each article provides symptoms, scope questions, checks, resolution, validation and escalation. Content is suitable for project testing and can be adapted to a real enterprise KB.</w:t>
      </w:r>
    </w:p>
    <w:p>
      <w:r>
        <w:t>Note: All ticket numbers, hostnames, users, IPs, business names and timestamps below are fictional sample data designed to resemble enterprise ITSM/Service Desk records. They must be replaced with organization-approved values before operational use.</w:t>
      </w:r>
    </w:p>
    <w:p>
      <w:pPr>
        <w:pStyle w:val="Heading1"/>
      </w:pPr>
      <w:r>
        <w:t>1. Service Desk Intake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107"/>
        <w:gridCol w:w="6107"/>
      </w:tblGrid>
      <w:tr>
        <w:tc>
          <w:tcPr>
            <w:tcW w:type="dxa" w:w="6107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107"/>
            <w:vAlign w:val="center"/>
            <w:shd w:fill="D9EAF7"/>
          </w:tcPr>
          <w:p>
            <w:r/>
            <w:r>
              <w:rPr>
                <w:b/>
                <w:sz w:val="18"/>
              </w:rPr>
              <w:t>Sample Value</w:t>
            </w:r>
          </w:p>
        </w:tc>
      </w:tr>
      <w:tr>
        <w:tc>
          <w:tcPr>
            <w:tcW w:type="dxa" w:w="6107"/>
            <w:vAlign w:val="center"/>
          </w:tcPr>
          <w:p>
            <w:r/>
            <w:r>
              <w:rPr>
                <w:b w:val="0"/>
                <w:sz w:val="18"/>
              </w:rPr>
              <w:t>Caller</w:t>
            </w:r>
          </w:p>
        </w:tc>
        <w:tc>
          <w:tcPr>
            <w:tcW w:type="dxa" w:w="6107"/>
            <w:vAlign w:val="center"/>
          </w:tcPr>
          <w:p>
            <w:r/>
            <w:r>
              <w:rPr>
                <w:b w:val="0"/>
                <w:sz w:val="18"/>
              </w:rPr>
              <w:t>Priya S.</w:t>
            </w:r>
          </w:p>
        </w:tc>
      </w:tr>
      <w:tr>
        <w:tc>
          <w:tcPr>
            <w:tcW w:type="dxa" w:w="6107"/>
            <w:vAlign w:val="center"/>
          </w:tcPr>
          <w:p>
            <w:r/>
            <w:r>
              <w:rPr>
                <w:b w:val="0"/>
                <w:sz w:val="18"/>
              </w:rPr>
              <w:t>Department</w:t>
            </w:r>
          </w:p>
        </w:tc>
        <w:tc>
          <w:tcPr>
            <w:tcW w:type="dxa" w:w="6107"/>
            <w:vAlign w:val="center"/>
          </w:tcPr>
          <w:p>
            <w:r/>
            <w:r>
              <w:rPr>
                <w:b w:val="0"/>
                <w:sz w:val="18"/>
              </w:rPr>
              <w:t>Finance</w:t>
            </w:r>
          </w:p>
        </w:tc>
      </w:tr>
      <w:tr>
        <w:tc>
          <w:tcPr>
            <w:tcW w:type="dxa" w:w="6107"/>
            <w:vAlign w:val="center"/>
          </w:tcPr>
          <w:p>
            <w:r/>
            <w:r>
              <w:rPr>
                <w:b w:val="0"/>
                <w:sz w:val="18"/>
              </w:rPr>
              <w:t>Location</w:t>
            </w:r>
          </w:p>
        </w:tc>
        <w:tc>
          <w:tcPr>
            <w:tcW w:type="dxa" w:w="6107"/>
            <w:vAlign w:val="center"/>
          </w:tcPr>
          <w:p>
            <w:r/>
            <w:r>
              <w:rPr>
                <w:b w:val="0"/>
                <w:sz w:val="18"/>
              </w:rPr>
              <w:t>Hyderabad Office</w:t>
            </w:r>
          </w:p>
        </w:tc>
      </w:tr>
      <w:tr>
        <w:tc>
          <w:tcPr>
            <w:tcW w:type="dxa" w:w="6107"/>
            <w:vAlign w:val="center"/>
          </w:tcPr>
          <w:p>
            <w:r/>
            <w:r>
              <w:rPr>
                <w:b w:val="0"/>
                <w:sz w:val="18"/>
              </w:rPr>
              <w:t>Device</w:t>
            </w:r>
          </w:p>
        </w:tc>
        <w:tc>
          <w:tcPr>
            <w:tcW w:type="dxa" w:w="6107"/>
            <w:vAlign w:val="center"/>
          </w:tcPr>
          <w:p>
            <w:r/>
            <w:r>
              <w:rPr>
                <w:b w:val="0"/>
                <w:sz w:val="18"/>
              </w:rPr>
              <w:t>LT-HYD-1048</w:t>
            </w:r>
          </w:p>
        </w:tc>
      </w:tr>
      <w:tr>
        <w:tc>
          <w:tcPr>
            <w:tcW w:type="dxa" w:w="6107"/>
            <w:vAlign w:val="center"/>
          </w:tcPr>
          <w:p>
            <w:r/>
            <w:r>
              <w:rPr>
                <w:b w:val="0"/>
                <w:sz w:val="18"/>
              </w:rPr>
              <w:t>Service</w:t>
            </w:r>
          </w:p>
        </w:tc>
        <w:tc>
          <w:tcPr>
            <w:tcW w:type="dxa" w:w="6107"/>
            <w:vAlign w:val="center"/>
          </w:tcPr>
          <w:p>
            <w:r/>
            <w:r>
              <w:rPr>
                <w:b w:val="0"/>
                <w:sz w:val="18"/>
              </w:rPr>
              <w:t>Corporate VPN</w:t>
            </w:r>
          </w:p>
        </w:tc>
      </w:tr>
      <w:tr>
        <w:tc>
          <w:tcPr>
            <w:tcW w:type="dxa" w:w="6107"/>
            <w:vAlign w:val="center"/>
          </w:tcPr>
          <w:p>
            <w:r/>
            <w:r>
              <w:rPr>
                <w:b w:val="0"/>
                <w:sz w:val="18"/>
              </w:rPr>
              <w:t>Issue</w:t>
            </w:r>
          </w:p>
        </w:tc>
        <w:tc>
          <w:tcPr>
            <w:tcW w:type="dxa" w:w="6107"/>
            <w:vAlign w:val="center"/>
          </w:tcPr>
          <w:p>
            <w:r/>
            <w:r>
              <w:rPr>
                <w:b w:val="0"/>
                <w:sz w:val="18"/>
              </w:rPr>
              <w:t>Cannot access Finance Portal from home</w:t>
            </w:r>
          </w:p>
        </w:tc>
      </w:tr>
      <w:tr>
        <w:tc>
          <w:tcPr>
            <w:tcW w:type="dxa" w:w="6107"/>
            <w:vAlign w:val="center"/>
          </w:tcPr>
          <w:p>
            <w:r/>
            <w:r>
              <w:rPr>
                <w:b w:val="0"/>
                <w:sz w:val="18"/>
              </w:rPr>
              <w:t>Impact</w:t>
            </w:r>
          </w:p>
        </w:tc>
        <w:tc>
          <w:tcPr>
            <w:tcW w:type="dxa" w:w="6107"/>
            <w:vAlign w:val="center"/>
          </w:tcPr>
          <w:p>
            <w:r/>
            <w:r>
              <w:rPr>
                <w:b w:val="0"/>
                <w:sz w:val="18"/>
              </w:rPr>
              <w:t>Single user</w:t>
            </w:r>
          </w:p>
        </w:tc>
      </w:tr>
      <w:tr>
        <w:tc>
          <w:tcPr>
            <w:tcW w:type="dxa" w:w="6107"/>
            <w:vAlign w:val="center"/>
          </w:tcPr>
          <w:p>
            <w:r/>
            <w:r>
              <w:rPr>
                <w:b w:val="0"/>
                <w:sz w:val="18"/>
              </w:rPr>
              <w:t>Urgency</w:t>
            </w:r>
          </w:p>
        </w:tc>
        <w:tc>
          <w:tcPr>
            <w:tcW w:type="dxa" w:w="6107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6107"/>
            <w:vAlign w:val="center"/>
          </w:tcPr>
          <w:p>
            <w:r/>
            <w:r>
              <w:rPr>
                <w:b w:val="0"/>
                <w:sz w:val="18"/>
              </w:rPr>
              <w:t>Priority</w:t>
            </w:r>
          </w:p>
        </w:tc>
        <w:tc>
          <w:tcPr>
            <w:tcW w:type="dxa" w:w="6107"/>
            <w:vAlign w:val="center"/>
          </w:tcPr>
          <w:p>
            <w:r/>
            <w:r>
              <w:rPr>
                <w:b w:val="0"/>
                <w:sz w:val="18"/>
              </w:rPr>
              <w:t>P3</w:t>
            </w:r>
          </w:p>
        </w:tc>
      </w:tr>
      <w:tr>
        <w:tc>
          <w:tcPr>
            <w:tcW w:type="dxa" w:w="6107"/>
            <w:vAlign w:val="center"/>
          </w:tcPr>
          <w:p>
            <w:r/>
            <w:r>
              <w:rPr>
                <w:b w:val="0"/>
                <w:sz w:val="18"/>
              </w:rPr>
              <w:t>Initial Action</w:t>
            </w:r>
          </w:p>
        </w:tc>
        <w:tc>
          <w:tcPr>
            <w:tcW w:type="dxa" w:w="6107"/>
            <w:vAlign w:val="center"/>
          </w:tcPr>
          <w:p>
            <w:r/>
            <w:r>
              <w:rPr>
                <w:b w:val="0"/>
                <w:sz w:val="18"/>
              </w:rPr>
              <w:t>Verified internet access; VPN connected but portal unavailable</w:t>
            </w:r>
          </w:p>
        </w:tc>
      </w:tr>
      <w:tr>
        <w:tc>
          <w:tcPr>
            <w:tcW w:type="dxa" w:w="6107"/>
            <w:vAlign w:val="center"/>
          </w:tcPr>
          <w:p>
            <w:r/>
            <w:r>
              <w:rPr>
                <w:b w:val="0"/>
                <w:sz w:val="18"/>
              </w:rPr>
              <w:t>Assignment</w:t>
            </w:r>
          </w:p>
        </w:tc>
        <w:tc>
          <w:tcPr>
            <w:tcW w:type="dxa" w:w="6107"/>
            <w:vAlign w:val="center"/>
          </w:tcPr>
          <w:p>
            <w:r/>
            <w:r>
              <w:rPr>
                <w:b w:val="0"/>
                <w:sz w:val="18"/>
              </w:rPr>
              <w:t>Network Operations</w:t>
            </w:r>
          </w:p>
        </w:tc>
      </w:tr>
    </w:tbl>
    <w:p>
      <w:pPr>
        <w:pStyle w:val="Heading1"/>
      </w:pPr>
      <w:r>
        <w:t>2. KB Articles</w:t>
      </w:r>
    </w:p>
    <w:p>
      <w:pPr>
        <w:pStyle w:val="Heading2"/>
      </w:pPr>
      <w:r>
        <w:t>KB-SD-001 — Password Reset / Account Locked</w:t>
      </w:r>
    </w:p>
    <w:p>
      <w:r>
        <w:t>Symptoms: User cannot sign in or reports account locked.</w:t>
      </w:r>
    </w:p>
    <w:p>
      <w:r>
        <w:t>Checks: Verify identity using approved procedure; confirm whether failure is password, account lock, MFA or application-specific; check sign-in error message.</w:t>
      </w:r>
    </w:p>
    <w:p>
      <w:r>
        <w:t>Resolution: Use the approved password-reset/unlock workflow. Ask the user to retry after synchronization delay where applicable.</w:t>
      </w:r>
    </w:p>
    <w:p>
      <w:r>
        <w:t>Validation: User successfully authenticates to the required service.</w:t>
      </w:r>
    </w:p>
    <w:p>
      <w:r>
        <w:t>Escalation: IAM if repeated lockouts, suspected compromise, directory synchronization issue or policy exception.</w:t>
      </w:r>
    </w:p>
    <w:p>
      <w:pPr>
        <w:pStyle w:val="Heading2"/>
      </w:pPr>
      <w:r>
        <w:t>KB-SD-002 — VPN Connected but Internal Application Unreachable</w:t>
      </w:r>
    </w:p>
    <w:p>
      <w:r>
        <w:t>Symptoms: VPN shows connected, but internal application cannot be opened.</w:t>
      </w:r>
    </w:p>
    <w:p>
      <w:r>
        <w:t>Checks: Confirm VPN-assigned address; test internal DNS; resolve application hostname; test approved TCP port; compare with another internal resource.</w:t>
      </w:r>
    </w:p>
    <w:p>
      <w:r>
        <w:t>Resolution: If DNS is unavailable, follow DNS KB. If port is blocked, escalate to Network/Security with evidence. If only the application fails while network tests succeed, route to Application Support.</w:t>
      </w:r>
    </w:p>
    <w:p>
      <w:r>
        <w:t>Validation: Application opens and user can perform a normal business transaction.</w:t>
      </w:r>
    </w:p>
    <w:p>
      <w:r>
        <w:t>Escalation: Network Operations / Security / Application Support based on evidence.</w:t>
      </w:r>
    </w:p>
    <w:p>
      <w:pPr>
        <w:pStyle w:val="Heading2"/>
      </w:pPr>
      <w:r>
        <w:t>KB-SD-003 — Outlook / Mail Send Failure</w:t>
      </w:r>
    </w:p>
    <w:p>
      <w:r>
        <w:t>Symptoms: User can receive mail but cannot send; bounce message may appear.</w:t>
      </w:r>
    </w:p>
    <w:p>
      <w:r>
        <w:t>Checks: Capture exact NDR/error; determine whether one recipient or all recipients are affected; test internal recipient; check service health if available.</w:t>
      </w:r>
    </w:p>
    <w:p>
      <w:r>
        <w:t>Resolution: Follow approved mailbox/client remediation. Do not change tenant-wide mail-flow settings from Service Desk.</w:t>
      </w:r>
    </w:p>
    <w:p>
      <w:r>
        <w:t>Validation: Test message delivered to an approved test mailbox.</w:t>
      </w:r>
    </w:p>
    <w:p>
      <w:r>
        <w:t>Escalation: Messaging L2 for persistent NDRs, connector/routing errors or multi-user impact.</w:t>
      </w:r>
    </w:p>
    <w:p>
      <w:pPr>
        <w:pStyle w:val="Heading2"/>
      </w:pPr>
      <w:r>
        <w:t>KB-SD-004 — Laptop Slow / High CPU</w:t>
      </w:r>
    </w:p>
    <w:p>
      <w:r>
        <w:t>Symptoms: System is slow, applications freeze or fan runs continuously.</w:t>
      </w:r>
    </w:p>
    <w:p>
      <w:r>
        <w:t>Checks: Task Manager CPU/memory/disk; identify process; check disk free space; reboot if appropriate; verify endpoint-management alerts.</w:t>
      </w:r>
    </w:p>
    <w:p>
      <w:r>
        <w:t>Resolution: Close nonessential processes, apply approved updates, restart if appropriate, remove known temporary files per policy.</w:t>
      </w:r>
    </w:p>
    <w:p>
      <w:r>
        <w:t>Validation: Repeat workload and verify performance is normal.</w:t>
      </w:r>
    </w:p>
    <w:p>
      <w:r>
        <w:t>Escalation: Endpoint/Desktop Engineering for recurring high CPU, hardware symptoms or suspected malware.</w:t>
      </w:r>
    </w:p>
    <w:p>
      <w:pPr>
        <w:pStyle w:val="Heading2"/>
      </w:pPr>
      <w:r>
        <w:t>KB-SD-005 — Printer Not Printing</w:t>
      </w:r>
    </w:p>
    <w:p>
      <w:r>
        <w:t>Symptoms: Job remains queued or printer unavailable.</w:t>
      </w:r>
    </w:p>
    <w:p>
      <w:r>
        <w:t>Checks: Confirm printer/queue; test network reachability if permitted; check default printer; verify spooler status using approved support procedure.</w:t>
      </w:r>
    </w:p>
    <w:p>
      <w:r>
        <w:t>Resolution: Clear stuck job using approved process, reconnect mapped printer, or route hardware issue.</w:t>
      </w:r>
    </w:p>
    <w:p>
      <w:r>
        <w:t>Validation: Print a test page or approved test document.</w:t>
      </w:r>
    </w:p>
    <w:p>
      <w:r>
        <w:t>Escalation: Print Services / Network / Vendor depending on evidence.</w:t>
      </w:r>
    </w:p>
    <w:p>
      <w:pPr>
        <w:pStyle w:val="Heading2"/>
      </w:pPr>
      <w:r>
        <w:t>KB-SD-006 — Application HTTP 500/503</w:t>
      </w:r>
    </w:p>
    <w:p>
      <w:r>
        <w:t>Symptoms: User receives server error.</w:t>
      </w:r>
    </w:p>
    <w:p>
      <w:r>
        <w:t>Checks: Determine scope and start time; check application status/monitoring; test from another user/location; capture URL and timestamp.</w:t>
      </w:r>
    </w:p>
    <w:p>
      <w:r>
        <w:t>Resolution: Service Desk should not make production application changes unless explicitly authorized. Provide workaround if an approved KB exists.</w:t>
      </w:r>
    </w:p>
    <w:p>
      <w:r>
        <w:t>Validation: Application returns expected page/function.</w:t>
      </w:r>
    </w:p>
    <w:p>
      <w:r>
        <w:t>Escalation: Application Support / Operations; P1/P2 process if business-wide outage.</w:t>
      </w:r>
    </w:p>
    <w:p>
      <w:pPr>
        <w:pStyle w:val="Heading1"/>
      </w:pPr>
      <w:r>
        <w:t>3. Service Desk Ticket Quality Checklist</w:t>
      </w:r>
    </w:p>
    <w:p>
      <w:pPr>
        <w:pStyle w:val="ListBullet"/>
      </w:pPr>
      <w:r>
        <w:t>Clear user/business impact</w:t>
      </w:r>
    </w:p>
    <w:p>
      <w:pPr>
        <w:pStyle w:val="ListBullet"/>
      </w:pPr>
      <w:r>
        <w:t>Exact error message captured</w:t>
      </w:r>
    </w:p>
    <w:p>
      <w:pPr>
        <w:pStyle w:val="ListBullet"/>
      </w:pPr>
      <w:r>
        <w:t>Affected service and CI recorded</w:t>
      </w:r>
    </w:p>
    <w:p>
      <w:pPr>
        <w:pStyle w:val="ListBullet"/>
      </w:pPr>
      <w:r>
        <w:t>Scope identified (single user/site/multiple users)</w:t>
      </w:r>
    </w:p>
    <w:p>
      <w:pPr>
        <w:pStyle w:val="ListBullet"/>
      </w:pPr>
      <w:r>
        <w:t>Relevant KB searched</w:t>
      </w:r>
    </w:p>
    <w:p>
      <w:pPr>
        <w:pStyle w:val="ListBullet"/>
      </w:pPr>
      <w:r>
        <w:t>Troubleshooting steps and results recorded</w:t>
      </w:r>
    </w:p>
    <w:p>
      <w:pPr>
        <w:pStyle w:val="ListBullet"/>
      </w:pPr>
      <w:r>
        <w:t>Correct category/subcategory</w:t>
      </w:r>
    </w:p>
    <w:p>
      <w:pPr>
        <w:pStyle w:val="ListBullet"/>
      </w:pPr>
      <w:r>
        <w:t>Correct impact/urgency/priority</w:t>
      </w:r>
    </w:p>
    <w:p>
      <w:pPr>
        <w:pStyle w:val="ListBullet"/>
      </w:pPr>
      <w:r>
        <w:t>Correct assignment group</w:t>
      </w:r>
    </w:p>
    <w:p>
      <w:pPr>
        <w:pStyle w:val="ListBullet"/>
      </w:pPr>
      <w:r>
        <w:t>SLA monitored</w:t>
      </w:r>
    </w:p>
    <w:p>
      <w:pPr>
        <w:pStyle w:val="ListBullet"/>
      </w:pPr>
      <w:r>
        <w:t>User updated before escalation where appropriate</w:t>
      </w:r>
    </w:p>
    <w:p>
      <w:pPr>
        <w:pStyle w:val="ListBullet"/>
      </w:pPr>
      <w:r>
        <w:t>Resolution and validation recorded</w:t>
      </w:r>
    </w:p>
    <w:p>
      <w:pPr>
        <w:pStyle w:val="Heading1"/>
      </w:pPr>
      <w:r>
        <w:t>4. Sample Daily Queue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5"/>
        <w:gridCol w:w="1745"/>
        <w:gridCol w:w="1745"/>
        <w:gridCol w:w="1745"/>
        <w:gridCol w:w="1745"/>
        <w:gridCol w:w="1745"/>
        <w:gridCol w:w="1745"/>
      </w:tblGrid>
      <w:tr>
        <w:tc>
          <w:tcPr>
            <w:tcW w:type="dxa" w:w="1745"/>
            <w:vAlign w:val="center"/>
            <w:shd w:fill="D9EAF7"/>
          </w:tcPr>
          <w:p>
            <w:r/>
            <w:r>
              <w:rPr>
                <w:b/>
                <w:sz w:val="18"/>
              </w:rPr>
              <w:t>Ticket</w:t>
            </w:r>
          </w:p>
        </w:tc>
        <w:tc>
          <w:tcPr>
            <w:tcW w:type="dxa" w:w="1745"/>
            <w:vAlign w:val="center"/>
            <w:shd w:fill="D9EAF7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1745"/>
            <w:vAlign w:val="center"/>
            <w:shd w:fill="D9EAF7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1745"/>
            <w:vAlign w:val="center"/>
            <w:shd w:fill="D9EAF7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1745"/>
            <w:vAlign w:val="center"/>
            <w:shd w:fill="D9EAF7"/>
          </w:tcPr>
          <w:p>
            <w:r/>
            <w:r>
              <w:rPr>
                <w:b/>
                <w:sz w:val="18"/>
              </w:rPr>
              <w:t>Assignment</w:t>
            </w:r>
          </w:p>
        </w:tc>
        <w:tc>
          <w:tcPr>
            <w:tcW w:type="dxa" w:w="1745"/>
            <w:vAlign w:val="center"/>
            <w:shd w:fill="D9EAF7"/>
          </w:tcPr>
          <w:p>
            <w:r/>
            <w:r>
              <w:rPr>
                <w:b/>
                <w:sz w:val="18"/>
              </w:rPr>
              <w:t>Short Description</w:t>
            </w:r>
          </w:p>
        </w:tc>
        <w:tc>
          <w:tcPr>
            <w:tcW w:type="dxa" w:w="1745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745"/>
            <w:vAlign w:val="center"/>
          </w:tcPr>
          <w:p>
            <w:r/>
            <w:r>
              <w:rPr>
                <w:b w:val="0"/>
                <w:sz w:val="18"/>
              </w:rPr>
              <w:t>INC0012501</w:t>
            </w:r>
          </w:p>
        </w:tc>
        <w:tc>
          <w:tcPr>
            <w:tcW w:type="dxa" w:w="1745"/>
            <w:vAlign w:val="center"/>
          </w:tcPr>
          <w:p>
            <w:r/>
            <w:r>
              <w:rPr>
                <w:b w:val="0"/>
                <w:sz w:val="18"/>
              </w:rPr>
              <w:t>Incident</w:t>
            </w:r>
          </w:p>
        </w:tc>
        <w:tc>
          <w:tcPr>
            <w:tcW w:type="dxa" w:w="1745"/>
            <w:vAlign w:val="center"/>
          </w:tcPr>
          <w:p>
            <w:r/>
            <w:r>
              <w:rPr>
                <w:b w:val="0"/>
                <w:sz w:val="18"/>
              </w:rPr>
              <w:t>Access</w:t>
            </w:r>
          </w:p>
        </w:tc>
        <w:tc>
          <w:tcPr>
            <w:tcW w:type="dxa" w:w="1745"/>
            <w:vAlign w:val="center"/>
          </w:tcPr>
          <w:p>
            <w:r/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1745"/>
            <w:vAlign w:val="center"/>
          </w:tcPr>
          <w:p>
            <w:r/>
            <w:r>
              <w:rPr>
                <w:b w:val="0"/>
                <w:sz w:val="18"/>
              </w:rPr>
              <w:t>Service Desk L1</w:t>
            </w:r>
          </w:p>
        </w:tc>
        <w:tc>
          <w:tcPr>
            <w:tcW w:type="dxa" w:w="1745"/>
            <w:vAlign w:val="center"/>
          </w:tcPr>
          <w:p>
            <w:r/>
            <w:r>
              <w:rPr>
                <w:b w:val="0"/>
                <w:sz w:val="18"/>
              </w:rPr>
              <w:t>Account locked after multiple failed logins</w:t>
            </w:r>
          </w:p>
        </w:tc>
        <w:tc>
          <w:tcPr>
            <w:tcW w:type="dxa" w:w="1745"/>
            <w:vAlign w:val="center"/>
          </w:tcPr>
          <w:p>
            <w:r/>
            <w:r>
              <w:rPr>
                <w:b w:val="0"/>
                <w:sz w:val="18"/>
              </w:rPr>
              <w:t>In Progress</w:t>
            </w:r>
          </w:p>
        </w:tc>
      </w:tr>
      <w:tr>
        <w:tc>
          <w:tcPr>
            <w:tcW w:type="dxa" w:w="1745"/>
            <w:vAlign w:val="center"/>
          </w:tcPr>
          <w:p>
            <w:r/>
            <w:r>
              <w:rPr>
                <w:b w:val="0"/>
                <w:sz w:val="18"/>
              </w:rPr>
              <w:t>INC0012502</w:t>
            </w:r>
          </w:p>
        </w:tc>
        <w:tc>
          <w:tcPr>
            <w:tcW w:type="dxa" w:w="1745"/>
            <w:vAlign w:val="center"/>
          </w:tcPr>
          <w:p>
            <w:r/>
            <w:r>
              <w:rPr>
                <w:b w:val="0"/>
                <w:sz w:val="18"/>
              </w:rPr>
              <w:t>Incident</w:t>
            </w:r>
          </w:p>
        </w:tc>
        <w:tc>
          <w:tcPr>
            <w:tcW w:type="dxa" w:w="1745"/>
            <w:vAlign w:val="center"/>
          </w:tcPr>
          <w:p>
            <w:r/>
            <w:r>
              <w:rPr>
                <w:b w:val="0"/>
                <w:sz w:val="18"/>
              </w:rPr>
              <w:t>Network</w:t>
            </w:r>
          </w:p>
        </w:tc>
        <w:tc>
          <w:tcPr>
            <w:tcW w:type="dxa" w:w="1745"/>
            <w:vAlign w:val="center"/>
          </w:tcPr>
          <w:p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1745"/>
            <w:vAlign w:val="center"/>
          </w:tcPr>
          <w:p>
            <w:r/>
            <w:r>
              <w:rPr>
                <w:b w:val="0"/>
                <w:sz w:val="18"/>
              </w:rPr>
              <w:t>Network Operations</w:t>
            </w:r>
          </w:p>
        </w:tc>
        <w:tc>
          <w:tcPr>
            <w:tcW w:type="dxa" w:w="1745"/>
            <w:vAlign w:val="center"/>
          </w:tcPr>
          <w:p>
            <w:r/>
            <w:r>
              <w:rPr>
                <w:b w:val="0"/>
                <w:sz w:val="18"/>
              </w:rPr>
              <w:t>Branch users cannot reach ERP</w:t>
            </w:r>
          </w:p>
        </w:tc>
        <w:tc>
          <w:tcPr>
            <w:tcW w:type="dxa" w:w="1745"/>
            <w:vAlign w:val="center"/>
          </w:tcPr>
          <w:p>
            <w:r/>
            <w:r>
              <w:rPr>
                <w:b w:val="0"/>
                <w:sz w:val="18"/>
              </w:rPr>
              <w:t>Assigned</w:t>
            </w:r>
          </w:p>
        </w:tc>
      </w:tr>
      <w:tr>
        <w:tc>
          <w:tcPr>
            <w:tcW w:type="dxa" w:w="1745"/>
            <w:vAlign w:val="center"/>
          </w:tcPr>
          <w:p>
            <w:r/>
            <w:r>
              <w:rPr>
                <w:b w:val="0"/>
                <w:sz w:val="18"/>
              </w:rPr>
              <w:t>REQ0011304</w:t>
            </w:r>
          </w:p>
        </w:tc>
        <w:tc>
          <w:tcPr>
            <w:tcW w:type="dxa" w:w="1745"/>
            <w:vAlign w:val="center"/>
          </w:tcPr>
          <w:p>
            <w:r/>
            <w:r>
              <w:rPr>
                <w:b w:val="0"/>
                <w:sz w:val="18"/>
              </w:rPr>
              <w:t>Request</w:t>
            </w:r>
          </w:p>
        </w:tc>
        <w:tc>
          <w:tcPr>
            <w:tcW w:type="dxa" w:w="1745"/>
            <w:vAlign w:val="center"/>
          </w:tcPr>
          <w:p>
            <w:r/>
            <w:r>
              <w:rPr>
                <w:b w:val="0"/>
                <w:sz w:val="18"/>
              </w:rPr>
              <w:t>Software</w:t>
            </w:r>
          </w:p>
        </w:tc>
        <w:tc>
          <w:tcPr>
            <w:tcW w:type="dxa" w:w="1745"/>
            <w:vAlign w:val="center"/>
          </w:tcPr>
          <w:p>
            <w:r/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1745"/>
            <w:vAlign w:val="center"/>
          </w:tcPr>
          <w:p>
            <w:r/>
            <w:r>
              <w:rPr>
                <w:b w:val="0"/>
                <w:sz w:val="18"/>
              </w:rPr>
              <w:t>EU Workplace</w:t>
            </w:r>
          </w:p>
        </w:tc>
        <w:tc>
          <w:tcPr>
            <w:tcW w:type="dxa" w:w="1745"/>
            <w:vAlign w:val="center"/>
          </w:tcPr>
          <w:p>
            <w:r/>
            <w:r>
              <w:rPr>
                <w:b w:val="0"/>
                <w:sz w:val="18"/>
              </w:rPr>
              <w:t>Install approved developer tool</w:t>
            </w:r>
          </w:p>
        </w:tc>
        <w:tc>
          <w:tcPr>
            <w:tcW w:type="dxa" w:w="1745"/>
            <w:vAlign w:val="center"/>
          </w:tcPr>
          <w:p>
            <w:r/>
            <w:r>
              <w:rPr>
                <w:b w:val="0"/>
                <w:sz w:val="18"/>
              </w:rPr>
              <w:t>Awaiting Approval</w:t>
            </w:r>
          </w:p>
        </w:tc>
      </w:tr>
      <w:tr>
        <w:tc>
          <w:tcPr>
            <w:tcW w:type="dxa" w:w="1745"/>
            <w:vAlign w:val="center"/>
          </w:tcPr>
          <w:p>
            <w:r/>
            <w:r>
              <w:rPr>
                <w:b w:val="0"/>
                <w:sz w:val="18"/>
              </w:rPr>
              <w:t>INC0012508</w:t>
            </w:r>
          </w:p>
        </w:tc>
        <w:tc>
          <w:tcPr>
            <w:tcW w:type="dxa" w:w="1745"/>
            <w:vAlign w:val="center"/>
          </w:tcPr>
          <w:p>
            <w:r/>
            <w:r>
              <w:rPr>
                <w:b w:val="0"/>
                <w:sz w:val="18"/>
              </w:rPr>
              <w:t>Incident</w:t>
            </w:r>
          </w:p>
        </w:tc>
        <w:tc>
          <w:tcPr>
            <w:tcW w:type="dxa" w:w="1745"/>
            <w:vAlign w:val="center"/>
          </w:tcPr>
          <w:p>
            <w:r/>
            <w:r>
              <w:rPr>
                <w:b w:val="0"/>
                <w:sz w:val="18"/>
              </w:rPr>
              <w:t>Application</w:t>
            </w:r>
          </w:p>
        </w:tc>
        <w:tc>
          <w:tcPr>
            <w:tcW w:type="dxa" w:w="1745"/>
            <w:vAlign w:val="center"/>
          </w:tcPr>
          <w:p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1745"/>
            <w:vAlign w:val="center"/>
          </w:tcPr>
          <w:p>
            <w:r/>
            <w:r>
              <w:rPr>
                <w:b w:val="0"/>
                <w:sz w:val="18"/>
              </w:rPr>
              <w:t>Application Support</w:t>
            </w:r>
          </w:p>
        </w:tc>
        <w:tc>
          <w:tcPr>
            <w:tcW w:type="dxa" w:w="1745"/>
            <w:vAlign w:val="center"/>
          </w:tcPr>
          <w:p>
            <w:r/>
            <w:r>
              <w:rPr>
                <w:b w:val="0"/>
                <w:sz w:val="18"/>
              </w:rPr>
              <w:t>Customer portal HTTP 503</w:t>
            </w:r>
          </w:p>
        </w:tc>
        <w:tc>
          <w:tcPr>
            <w:tcW w:type="dxa" w:w="1745"/>
            <w:vAlign w:val="center"/>
          </w:tcPr>
          <w:p>
            <w:r/>
            <w:r>
              <w:rPr>
                <w:b w:val="0"/>
                <w:sz w:val="18"/>
              </w:rPr>
              <w:t>Investigating</w:t>
            </w:r>
          </w:p>
        </w:tc>
      </w:tr>
      <w:tr>
        <w:tc>
          <w:tcPr>
            <w:tcW w:type="dxa" w:w="1745"/>
            <w:vAlign w:val="center"/>
          </w:tcPr>
          <w:p>
            <w:r/>
            <w:r>
              <w:rPr>
                <w:b w:val="0"/>
                <w:sz w:val="18"/>
              </w:rPr>
              <w:t>INC0012510</w:t>
            </w:r>
          </w:p>
        </w:tc>
        <w:tc>
          <w:tcPr>
            <w:tcW w:type="dxa" w:w="1745"/>
            <w:vAlign w:val="center"/>
          </w:tcPr>
          <w:p>
            <w:r/>
            <w:r>
              <w:rPr>
                <w:b w:val="0"/>
                <w:sz w:val="18"/>
              </w:rPr>
              <w:t>Incident</w:t>
            </w:r>
          </w:p>
        </w:tc>
        <w:tc>
          <w:tcPr>
            <w:tcW w:type="dxa" w:w="1745"/>
            <w:vAlign w:val="center"/>
          </w:tcPr>
          <w:p>
            <w:r/>
            <w:r>
              <w:rPr>
                <w:b w:val="0"/>
                <w:sz w:val="18"/>
              </w:rPr>
              <w:t>Hardware</w:t>
            </w:r>
          </w:p>
        </w:tc>
        <w:tc>
          <w:tcPr>
            <w:tcW w:type="dxa" w:w="1745"/>
            <w:vAlign w:val="center"/>
          </w:tcPr>
          <w:p>
            <w:r/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1745"/>
            <w:vAlign w:val="center"/>
          </w:tcPr>
          <w:p>
            <w:r/>
            <w:r>
              <w:rPr>
                <w:b w:val="0"/>
                <w:sz w:val="18"/>
              </w:rPr>
              <w:t>Desktop Support</w:t>
            </w:r>
          </w:p>
        </w:tc>
        <w:tc>
          <w:tcPr>
            <w:tcW w:type="dxa" w:w="1745"/>
            <w:vAlign w:val="center"/>
          </w:tcPr>
          <w:p>
            <w:r/>
            <w:r>
              <w:rPr>
                <w:b w:val="0"/>
                <w:sz w:val="18"/>
              </w:rPr>
              <w:t>Laptop docking station failure</w:t>
            </w:r>
          </w:p>
        </w:tc>
        <w:tc>
          <w:tcPr>
            <w:tcW w:type="dxa" w:w="1745"/>
            <w:vAlign w:val="center"/>
          </w:tcPr>
          <w:p>
            <w:r/>
            <w:r>
              <w:rPr>
                <w:b w:val="0"/>
                <w:sz w:val="18"/>
              </w:rPr>
              <w:t>Pending User</w:t>
            </w:r>
          </w:p>
        </w:tc>
      </w:tr>
    </w:tbl>
    <w:p>
      <w:pPr>
        <w:pStyle w:val="Heading1"/>
      </w:pPr>
      <w:r>
        <w:t>5. Knowledge Article Authoring Standard</w:t>
      </w:r>
    </w:p>
    <w:p>
      <w:r>
        <w:t>Use a concise title; state symptoms and affected scope; list safe diagnostic steps; separate diagnosis from resolution; provide validation steps; define escalation criteria; record ownership/review date; avoid secrets, credentials, sensitive personal information and organization-specific production values in reusable sample content.</w:t>
      </w:r>
    </w:p>
    <w:p>
      <w:pPr>
        <w:pStyle w:val="Heading1"/>
      </w:pPr>
      <w:r>
        <w:t>6. Project Testing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071"/>
        <w:gridCol w:w="4071"/>
        <w:gridCol w:w="4071"/>
      </w:tblGrid>
      <w:tr>
        <w:tc>
          <w:tcPr>
            <w:tcW w:type="dxa" w:w="4071"/>
            <w:vAlign w:val="center"/>
            <w:shd w:fill="D9EAF7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4071"/>
            <w:vAlign w:val="center"/>
            <w:shd w:fill="D9EAF7"/>
          </w:tcPr>
          <w:p>
            <w:r/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4071"/>
            <w:vAlign w:val="center"/>
            <w:shd w:fill="D9EAF7"/>
          </w:tcPr>
          <w:p>
            <w:r/>
            <w:r>
              <w:rPr>
                <w:b/>
                <w:sz w:val="18"/>
              </w:rPr>
              <w:t>Expected Result</w:t>
            </w:r>
          </w:p>
        </w:tc>
      </w:tr>
      <w:tr>
        <w:tc>
          <w:tcPr>
            <w:tcW w:type="dxa" w:w="4071"/>
            <w:vAlign w:val="center"/>
          </w:tcPr>
          <w:p>
            <w:r/>
            <w:r>
              <w:rPr>
                <w:b w:val="0"/>
                <w:sz w:val="18"/>
              </w:rPr>
              <w:t>SD-KB-001</w:t>
            </w:r>
          </w:p>
        </w:tc>
        <w:tc>
          <w:tcPr>
            <w:tcW w:type="dxa" w:w="4071"/>
            <w:vAlign w:val="center"/>
          </w:tcPr>
          <w:p>
            <w:r/>
            <w:r>
              <w:rPr>
                <w:b w:val="0"/>
                <w:sz w:val="18"/>
              </w:rPr>
              <w:t>Agent searches 'VPN connected but application unavailable'</w:t>
            </w:r>
          </w:p>
        </w:tc>
        <w:tc>
          <w:tcPr>
            <w:tcW w:type="dxa" w:w="4071"/>
            <w:vAlign w:val="center"/>
          </w:tcPr>
          <w:p>
            <w:r/>
            <w:r>
              <w:rPr>
                <w:b w:val="0"/>
                <w:sz w:val="18"/>
              </w:rPr>
              <w:t>Correct KB is returned and steps are actionable</w:t>
            </w:r>
          </w:p>
        </w:tc>
      </w:tr>
      <w:tr>
        <w:tc>
          <w:tcPr>
            <w:tcW w:type="dxa" w:w="4071"/>
            <w:vAlign w:val="center"/>
          </w:tcPr>
          <w:p>
            <w:r/>
            <w:r>
              <w:rPr>
                <w:b w:val="0"/>
                <w:sz w:val="18"/>
              </w:rPr>
              <w:t>SD-KB-002</w:t>
            </w:r>
          </w:p>
        </w:tc>
        <w:tc>
          <w:tcPr>
            <w:tcW w:type="dxa" w:w="4071"/>
            <w:vAlign w:val="center"/>
          </w:tcPr>
          <w:p>
            <w:r/>
            <w:r>
              <w:rPr>
                <w:b w:val="0"/>
                <w:sz w:val="18"/>
              </w:rPr>
              <w:t>Agent follows DNS KB</w:t>
            </w:r>
          </w:p>
        </w:tc>
        <w:tc>
          <w:tcPr>
            <w:tcW w:type="dxa" w:w="4071"/>
            <w:vAlign w:val="center"/>
          </w:tcPr>
          <w:p>
            <w:r/>
            <w:r>
              <w:rPr>
                <w:b w:val="0"/>
                <w:sz w:val="18"/>
              </w:rPr>
              <w:t>Agent captures IP/DNS/lookup evidence and escalates with useful data</w:t>
            </w:r>
          </w:p>
        </w:tc>
      </w:tr>
      <w:tr>
        <w:tc>
          <w:tcPr>
            <w:tcW w:type="dxa" w:w="4071"/>
            <w:vAlign w:val="center"/>
          </w:tcPr>
          <w:p>
            <w:r/>
            <w:r>
              <w:rPr>
                <w:b w:val="0"/>
                <w:sz w:val="18"/>
              </w:rPr>
              <w:t>SD-KB-003</w:t>
            </w:r>
          </w:p>
        </w:tc>
        <w:tc>
          <w:tcPr>
            <w:tcW w:type="dxa" w:w="4071"/>
            <w:vAlign w:val="center"/>
          </w:tcPr>
          <w:p>
            <w:r/>
            <w:r>
              <w:rPr>
                <w:b w:val="0"/>
                <w:sz w:val="18"/>
              </w:rPr>
              <w:t>Agent resolves a known password-lockout issue</w:t>
            </w:r>
          </w:p>
        </w:tc>
        <w:tc>
          <w:tcPr>
            <w:tcW w:type="dxa" w:w="4071"/>
            <w:vAlign w:val="center"/>
          </w:tcPr>
          <w:p>
            <w:r/>
            <w:r>
              <w:rPr>
                <w:b w:val="0"/>
                <w:sz w:val="18"/>
              </w:rPr>
              <w:t>Approved identity verification and reset workflow is followed</w:t>
            </w:r>
          </w:p>
        </w:tc>
      </w:tr>
      <w:tr>
        <w:tc>
          <w:tcPr>
            <w:tcW w:type="dxa" w:w="4071"/>
            <w:vAlign w:val="center"/>
          </w:tcPr>
          <w:p>
            <w:r/>
            <w:r>
              <w:rPr>
                <w:b w:val="0"/>
                <w:sz w:val="18"/>
              </w:rPr>
              <w:t>SD-KB-004</w:t>
            </w:r>
          </w:p>
        </w:tc>
        <w:tc>
          <w:tcPr>
            <w:tcW w:type="dxa" w:w="4071"/>
            <w:vAlign w:val="center"/>
          </w:tcPr>
          <w:p>
            <w:r/>
            <w:r>
              <w:rPr>
                <w:b w:val="0"/>
                <w:sz w:val="18"/>
              </w:rPr>
              <w:t>Agent cannot resolve HTTP 503</w:t>
            </w:r>
          </w:p>
        </w:tc>
        <w:tc>
          <w:tcPr>
            <w:tcW w:type="dxa" w:w="4071"/>
            <w:vAlign w:val="center"/>
          </w:tcPr>
          <w:p>
            <w:r/>
            <w:r>
              <w:rPr>
                <w:b w:val="0"/>
                <w:sz w:val="18"/>
              </w:rPr>
              <w:t>Ticket is escalated with scope, timestamp, URL and monitoring evidence</w:t>
            </w:r>
          </w:p>
        </w:tc>
      </w:tr>
      <w:tr>
        <w:tc>
          <w:tcPr>
            <w:tcW w:type="dxa" w:w="4071"/>
            <w:vAlign w:val="center"/>
          </w:tcPr>
          <w:p>
            <w:r/>
            <w:r>
              <w:rPr>
                <w:b w:val="0"/>
                <w:sz w:val="18"/>
              </w:rPr>
              <w:t>SD-KB-005</w:t>
            </w:r>
          </w:p>
        </w:tc>
        <w:tc>
          <w:tcPr>
            <w:tcW w:type="dxa" w:w="4071"/>
            <w:vAlign w:val="center"/>
          </w:tcPr>
          <w:p>
            <w:r/>
            <w:r>
              <w:rPr>
                <w:b w:val="0"/>
                <w:sz w:val="18"/>
              </w:rPr>
              <w:t>KB contains obsolete step</w:t>
            </w:r>
          </w:p>
        </w:tc>
        <w:tc>
          <w:tcPr>
            <w:tcW w:type="dxa" w:w="4071"/>
            <w:vAlign w:val="center"/>
          </w:tcPr>
          <w:p>
            <w:r/>
            <w:r>
              <w:rPr>
                <w:b w:val="0"/>
                <w:sz w:val="18"/>
              </w:rPr>
              <w:t>Article is flagged for review rather than blindly followed</w:t>
            </w:r>
          </w:p>
        </w:tc>
      </w:tr>
    </w:tbl>
    <w:p>
      <w:pPr>
        <w:pStyle w:val="Heading1"/>
      </w:pPr>
      <w:r>
        <w:t>7. Source / Practice Notes</w:t>
      </w:r>
    </w:p>
    <w:p>
      <w:r>
        <w:t>The article style is based on common enterprise Service Desk practice: consistent ticket records, categorization, assignment, SLA awareness, standard solutions and a maintained knowledge base. For network diagnostics, the command examples align with Microsoft troubleshooting documentation.</w:t>
      </w:r>
    </w:p>
    <w:sectPr w:rsidR="00FC693F" w:rsidRPr="0006063C" w:rsidSect="00034616">
      <w:pgSz w:w="12240" w:h="15840"/>
      <w:pgMar w:top="12" w:right="13" w:bottom="12" w:left="1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