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Statement of Work #104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Axiom Legal LLP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Blue Ridge Partners</w:t>
            </w:r>
          </w:p>
        </w:tc>
      </w:tr>
      <w:tr>
        <w:tc>
          <w:tcPr>
            <w:tcW w:type="dxa" w:w="4320"/>
          </w:tcPr>
          <w:p>
            <w:r>
              <w:t>Invoice No.</w:t>
            </w:r>
          </w:p>
        </w:tc>
        <w:tc>
          <w:tcPr>
            <w:tcW w:type="dxa" w:w="4320"/>
          </w:tcPr>
          <w:p>
            <w:r>
              <w:t>INV-0104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Due Date</w:t>
            </w:r>
          </w:p>
        </w:tc>
        <w:tc>
          <w:tcPr>
            <w:tcW w:type="dxa" w:w="4320"/>
          </w:tcPr>
          <w:p>
            <w:r>
              <w:t>2027-01-07</w:t>
            </w:r>
          </w:p>
        </w:tc>
      </w:tr>
      <w:tr>
        <w:tc>
          <w:tcPr>
            <w:tcW w:type="dxa" w:w="4320"/>
          </w:tcPr>
          <w:p>
            <w:r>
              <w:t>Amount Due</w:t>
            </w:r>
          </w:p>
        </w:tc>
        <w:tc>
          <w:tcPr>
            <w:tcW w:type="dxa" w:w="4320"/>
          </w:tcPr>
          <w:p>
            <w:r>
              <w:t>$69,193.00</w:t>
            </w:r>
          </w:p>
        </w:tc>
      </w:tr>
    </w:tbl>
    <w:p/>
    <w:p>
      <w:pPr>
        <w:pStyle w:val="Heading2"/>
      </w:pPr>
      <w:r>
        <w:t>Description of Services</w:t>
      </w:r>
    </w:p>
    <w:p>
      <w:pPr>
        <w:pStyle w:val="ListBullet"/>
      </w:pPr>
      <w:r>
        <w:t>Line item 1: Audit services — 61 hours @ $347/hr</w:t>
      </w:r>
    </w:p>
    <w:p>
      <w:pPr>
        <w:pStyle w:val="ListBullet"/>
      </w:pPr>
      <w:r>
        <w:t>Line item 2: Audit services — 34 hours @ $274/hr</w:t>
      </w:r>
    </w:p>
    <w:p>
      <w:pPr>
        <w:pStyle w:val="ListBullet"/>
      </w:pPr>
      <w:r>
        <w:t>Line item 3: Analysis services — 26 hours @ $260/hr</w:t>
      </w:r>
    </w:p>
    <w:p>
      <w:pPr>
        <w:pStyle w:val="Heading2"/>
      </w:pPr>
      <w:r>
        <w:t>Penalty Clause</w:t>
      </w:r>
    </w:p>
    <w:p>
      <w:r>
        <w:t>Service level breaches exceeding 99.0% uptime SLA incur a credit of 10% of monthly fees.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