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#INV-0105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Meridian Capital Ltd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Blue Ridge Partners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INV-0105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2025-06-26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2026-10-17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$204,403.00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Audit services — 39 hours @ $172/hr</w:t>
      </w:r>
    </w:p>
    <w:p>
      <w:pPr>
        <w:pStyle w:val="ListBullet"/>
      </w:pPr>
      <w:r>
        <w:t>Line item 2: Consulting services — 14 hours @ $248/hr</w:t>
      </w:r>
    </w:p>
    <w:p>
      <w:pPr>
        <w:pStyle w:val="ListBullet"/>
      </w:pPr>
      <w:r>
        <w:t>Line item 3: Audit services — 118 hours @ $314/hr</w:t>
      </w:r>
    </w:p>
    <w:p>
      <w:pPr>
        <w:pStyle w:val="ListBullet"/>
      </w:pPr>
      <w:r>
        <w:t>Line item 4: Development services — 118 hours @ $181/hr</w:t>
      </w:r>
    </w:p>
    <w:p>
      <w:pPr>
        <w:pStyle w:val="Heading2"/>
      </w:pPr>
      <w:r>
        <w:t>Penalty Clause</w:t>
      </w:r>
    </w:p>
    <w:p>
      <w:r>
        <w:t>Failure to comply with data security requirements results in a $25,000 penalty.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