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A87025B">
      <w:pPr>
        <w:pStyle w:val="style0"/>
        <w:spacing w:before="0" w:after="80"/>
        <w:rPr/>
      </w:pPr>
      <w:r>
        <w:rPr>
          <w:b/>
          <w:color w:val="1b365d"/>
          <w:sz w:val="44"/>
        </w:rPr>
        <w:t>Formulate Data-Driven Web Solutions Using XML, XSLT, and JSP within the MVC Framework</w:t>
      </w:r>
    </w:p>
    <w:p w14:paraId="B6221518">
      <w:pPr>
        <w:pStyle w:val="style0"/>
        <w:spacing w:before="0" w:after="360"/>
        <w:rPr/>
      </w:pPr>
      <w:r>
        <w:rPr>
          <w:i/>
          <w:color w:val="4a777a"/>
          <w:sz w:val="24"/>
        </w:rPr>
        <w:t>Assessment Tool: Comparative Analysis | Bloom's Taxonomy Level 4 (Analyzing)</w:t>
      </w:r>
    </w:p>
    <w:tbl>
      <w:tblPr>
        <w:tblW w:w="0" w:type="auto"/>
        <w:jc w:val="center"/>
        <w:tblLook w:val="04A0" w:firstRow="1" w:lastRow="0" w:firstColumn="1" w:lastColumn="0" w:noHBand="0" w:noVBand="1"/>
      </w:tblPr>
      <w:tblGrid>
        <w:gridCol w:w="4680"/>
        <w:gridCol w:w="4680"/>
      </w:tblGrid>
      <w:tr w14:paraId="80A9AEC3">
        <w:trPr>
          <w:jc w:val="center"/>
        </w:trPr>
        <w:tc>
          <w:tcPr>
            <w:tcW w:w="4680" w:type="dxa"/>
            <w:tcBorders/>
            <w:shd w:val="nil" w:color="auto" w:fill="f8fafc"/>
            <w:tcMar>
              <w:top w:w="60" w:type="dxa"/>
              <w:left w:w="100" w:type="dxa"/>
              <w:bottom w:w="60" w:type="dxa"/>
              <w:right w:w="100" w:type="dxa"/>
            </w:tcMar>
          </w:tcPr>
          <w:p w14:paraId="06515C42">
            <w:pPr>
              <w:pStyle w:val="style0"/>
              <w:rPr/>
            </w:pPr>
            <w:r>
              <w:rPr>
                <w:b/>
              </w:rPr>
              <w:t xml:space="preserve">Course / Domain: </w:t>
            </w:r>
            <w:r>
              <w:t>Advanced Web Technologies &amp; Enterprise Architectures</w:t>
            </w:r>
          </w:p>
        </w:tc>
        <w:tc>
          <w:tcPr>
            <w:tcW w:w="4680" w:type="dxa"/>
            <w:tcBorders/>
            <w:shd w:val="nil" w:color="auto" w:fill="f8fafc"/>
            <w:tcMar>
              <w:top w:w="60" w:type="dxa"/>
              <w:left w:w="100" w:type="dxa"/>
              <w:bottom w:w="60" w:type="dxa"/>
              <w:right w:w="100" w:type="dxa"/>
            </w:tcMar>
          </w:tcPr>
          <w:p w14:paraId="283DCB83">
            <w:pPr>
              <w:pStyle w:val="style0"/>
              <w:rPr/>
            </w:pPr>
            <w:r>
              <w:rPr>
                <w:b/>
              </w:rPr>
              <w:t xml:space="preserve">Cognitive Level: </w:t>
            </w:r>
            <w:r>
              <w:t>Level 4 (Analyze / Comparative Assessment)</w:t>
            </w:r>
          </w:p>
        </w:tc>
      </w:tr>
      <w:tr w14:paraId="32A9DFFC">
        <w:tblPrEx/>
        <w:trPr>
          <w:jc w:val="center"/>
        </w:trPr>
        <w:tc>
          <w:tcPr>
            <w:tcW w:w="4680" w:type="dxa"/>
            <w:tcBorders/>
            <w:shd w:val="nil" w:color="auto" w:fill="f8fafc"/>
            <w:tcMar>
              <w:top w:w="60" w:type="dxa"/>
              <w:left w:w="100" w:type="dxa"/>
              <w:bottom w:w="60" w:type="dxa"/>
              <w:right w:w="100" w:type="dxa"/>
            </w:tcMar>
          </w:tcPr>
          <w:p w14:paraId="1344FA33">
            <w:pPr>
              <w:pStyle w:val="style0"/>
              <w:rPr/>
            </w:pPr>
            <w:r>
              <w:rPr>
                <w:b/>
              </w:rPr>
              <w:t xml:space="preserve">Core Focus: </w:t>
            </w:r>
            <w:r>
              <w:t>XML, XSLT, JSP/Servlets, MVC, PHP Frameworks, Schema Validation</w:t>
            </w:r>
          </w:p>
        </w:tc>
        <w:tc>
          <w:tcPr>
            <w:tcW w:w="4680" w:type="dxa"/>
            <w:tcBorders/>
            <w:shd w:val="nil" w:color="auto" w:fill="f8fafc"/>
            <w:tcMar>
              <w:top w:w="60" w:type="dxa"/>
              <w:left w:w="100" w:type="dxa"/>
              <w:bottom w:w="60" w:type="dxa"/>
              <w:right w:w="100" w:type="dxa"/>
            </w:tcMar>
          </w:tcPr>
          <w:p w14:paraId="794D9821">
            <w:pPr>
              <w:pStyle w:val="style0"/>
              <w:rPr/>
            </w:pPr>
            <w:r>
              <w:rPr>
                <w:b/>
              </w:rPr>
              <w:t xml:space="preserve">Document Status: </w:t>
            </w:r>
            <w:r>
              <w:t>Complete Technical Assessment Dossier</w:t>
            </w:r>
          </w:p>
        </w:tc>
      </w:tr>
    </w:tbl>
    <w:p w14:paraId="8F73E9CD">
      <w:pPr>
        <w:pStyle w:val="style0"/>
        <w:spacing w:after="240"/>
        <w:rPr/>
      </w:pPr>
    </w:p>
    <w:p w14:paraId="959D1826">
      <w:pPr>
        <w:pStyle w:val="style0"/>
        <w:keepNext/>
        <w:spacing w:before="320" w:after="120"/>
        <w:rPr/>
      </w:pPr>
      <w:r>
        <w:rPr>
          <w:b/>
          <w:color w:val="1b365d"/>
          <w:sz w:val="30"/>
        </w:rPr>
        <w:t>Question 1: Comparative Analysis of XSLT-Based Transformation vs. JSP-Based Dynamic Rendering for Structured XML Web Reports</w:t>
      </w:r>
    </w:p>
    <w:tbl>
      <w:tblPr>
        <w:tblW w:w="0" w:type="auto"/>
        <w:jc w:val="center"/>
        <w:tblLook w:val="04A0" w:firstRow="1" w:lastRow="0" w:firstColumn="1" w:lastColumn="0" w:noHBand="0" w:noVBand="1"/>
      </w:tblPr>
      <w:tblGrid>
        <w:gridCol w:w="9360"/>
      </w:tblGrid>
      <w:tr w14:paraId="D4784CB1">
        <w:trPr>
          <w:jc w:val="center"/>
        </w:trPr>
        <w:tc>
          <w:tcPr>
            <w:tcW w:w="9360" w:type="dxa"/>
            <w:tcBorders>
              <w:top w:val="none" w:sz="4" w:space="0" w:color="auto"/>
              <w:left w:val="single" w:sz="24" w:space="0" w:color="1b365d"/>
              <w:bottom w:val="none" w:sz="4" w:space="0" w:color="auto"/>
              <w:right w:val="none" w:sz="4" w:space="0" w:color="auto"/>
            </w:tcBorders>
            <w:shd w:val="nil" w:color="auto" w:fill="f0f4f8"/>
            <w:tcMar>
              <w:top w:w="100" w:type="dxa"/>
              <w:left w:w="150" w:type="dxa"/>
              <w:bottom w:w="100" w:type="dxa"/>
              <w:right w:w="150" w:type="dxa"/>
            </w:tcMar>
          </w:tcPr>
          <w:p w14:paraId="C938CAEB">
            <w:pPr>
              <w:pStyle w:val="style0"/>
              <w:spacing w:before="0" w:after="0" w:lineRule="auto" w:line="276"/>
              <w:rPr/>
            </w:pPr>
            <w:r>
              <w:rPr>
                <w:b/>
                <w:color w:val="1b365d"/>
                <w:sz w:val="20"/>
              </w:rPr>
              <w:t xml:space="preserve">Problem Context &amp; Scope: </w:t>
            </w:r>
            <w:r>
              <w:rPr>
                <w:sz w:val="20"/>
              </w:rPr>
              <w:t>Context: A company intends to transform and present XML data as structured web reports for end users. This section provides a rigorous comparative evaluation of XSLT-based declarative transformation versus JavaServer Pages (JSP)-based dynamic rendering across processing models, execution flows, transformation mechanics, system resource utilization, and operational trade-offs.</w:t>
            </w:r>
          </w:p>
        </w:tc>
      </w:tr>
    </w:tbl>
    <w:p w14:paraId="61086B21">
      <w:pPr>
        <w:pStyle w:val="style0"/>
        <w:spacing w:after="80"/>
        <w:rPr/>
      </w:pPr>
    </w:p>
    <w:p w14:paraId="FEEDCF58">
      <w:pPr>
        <w:pStyle w:val="style0"/>
        <w:keepNext/>
        <w:spacing w:before="240" w:after="80"/>
        <w:rPr/>
      </w:pPr>
      <w:r>
        <w:rPr>
          <w:b/>
          <w:color w:val="4a777a"/>
          <w:sz w:val="25"/>
        </w:rPr>
        <w:t>1.1 Underlying Processing Models and Execution Flow</w:t>
      </w:r>
    </w:p>
    <w:p w14:paraId="9914992F">
      <w:pPr>
        <w:pStyle w:val="style0"/>
        <w:rPr/>
      </w:pPr>
      <w:r>
        <w:t xml:space="preserve">The core distinction between XSLT-based transformation and JSP dynamic rendering lies in their execution paradigms: </w:t>
      </w:r>
      <w:r>
        <w:rPr>
          <w:b/>
        </w:rPr>
        <w:t>XSLT (Extensible Stylesheet Language Transformations)</w:t>
      </w:r>
      <w:r>
        <w:t xml:space="preserve"> operates as a declarative, rule-driven functional language designed specifically for tree transformation, whereas </w:t>
      </w:r>
      <w:r>
        <w:rPr>
          <w:b/>
        </w:rPr>
        <w:t>JSP (JavaServer Pages)</w:t>
      </w:r>
      <w:r>
        <w:t xml:space="preserve"> is an imperative, component-oriented server-side templating technology compiled into native Java Servlets.</w:t>
      </w:r>
    </w:p>
    <w:p w14:paraId="661E745D">
      <w:pPr>
        <w:pStyle w:val="style0"/>
        <w:keepNext/>
        <w:spacing w:before="160" w:after="40"/>
        <w:rPr/>
      </w:pPr>
      <w:r>
        <w:rPr>
          <w:b/>
          <w:i/>
          <w:color w:val="222222"/>
          <w:sz w:val="22"/>
        </w:rPr>
        <w:t>A. XSLT-Based Processing Pipeline</w:t>
      </w:r>
    </w:p>
    <w:p w14:paraId="442EBEC8">
      <w:pPr>
        <w:pStyle w:val="style0"/>
        <w:rPr/>
      </w:pPr>
      <w:r>
        <w:t>The XSLT transformation pipeline follows a document-to-document translation model based on the W3C XSLT/XPath standard:</w:t>
      </w:r>
    </w:p>
    <w:p w14:paraId="83A60B37">
      <w:pPr>
        <w:pStyle w:val="style48"/>
        <w:spacing w:after="60"/>
        <w:rPr/>
      </w:pPr>
      <w:r>
        <w:rPr>
          <w:b/>
        </w:rPr>
        <w:t xml:space="preserve">Source Document Ingestion: </w:t>
      </w:r>
      <w:r>
        <w:t>The incoming XML stream is parsed into an in-memory node-tree representation (e.g., via DOM or proprietary tree models such as Saxon's TinyTree).</w:t>
      </w:r>
    </w:p>
    <w:p w14:paraId="BBFEFC5C">
      <w:pPr>
        <w:pStyle w:val="style48"/>
        <w:spacing w:after="60"/>
        <w:rPr/>
      </w:pPr>
      <w:r>
        <w:rPr>
          <w:b/>
        </w:rPr>
        <w:t xml:space="preserve">Stylesheet Compilation: </w:t>
      </w:r>
      <w:r>
        <w:t>The XSLT stylesheet (containing templates, match patterns, and formatting logic) is parsed and compiled into an abstract syntax tree or executable bytecode (using an XSLT processor like Apache Xalan or Saxon).</w:t>
      </w:r>
    </w:p>
    <w:p w14:paraId="23E7A515">
      <w:pPr>
        <w:pStyle w:val="style48"/>
        <w:spacing w:after="60"/>
        <w:rPr/>
      </w:pPr>
      <w:r>
        <w:rPr>
          <w:b/>
        </w:rPr>
        <w:t xml:space="preserve">Pattern Matching &amp; Template Rule Execution: </w:t>
      </w:r>
      <w:r>
        <w:t>The XSLT engine traverses the source tree, recursively evaluating XPath expressions and triggering corresponding &lt;xsl:template match="..."&gt; rules.</w:t>
      </w:r>
    </w:p>
    <w:p w14:paraId="2C4D4AF1">
      <w:pPr>
        <w:pStyle w:val="style48"/>
        <w:spacing w:after="60"/>
        <w:rPr/>
      </w:pPr>
      <w:r>
        <w:rPr>
          <w:b/>
        </w:rPr>
        <w:t xml:space="preserve">Result Tree Serialization: </w:t>
      </w:r>
      <w:r>
        <w:t>Transformed nodes are assembled into an output document tree (HTML5, XHTML, PDF via XSL-FO, or CSV) and serialized to the client response stream.</w:t>
      </w:r>
    </w:p>
    <w:p w14:paraId="0C1B9C36">
      <w:pPr>
        <w:pStyle w:val="style0"/>
        <w:keepNext/>
        <w:spacing w:before="160" w:after="40"/>
        <w:rPr/>
      </w:pPr>
      <w:r>
        <w:rPr>
          <w:b/>
          <w:i/>
          <w:color w:val="222222"/>
          <w:sz w:val="22"/>
        </w:rPr>
        <w:t>B. JSP-Based Rendering Pipeline</w:t>
      </w:r>
    </w:p>
    <w:p w14:paraId="DB417059">
      <w:pPr>
        <w:pStyle w:val="style0"/>
        <w:rPr/>
      </w:pPr>
      <w:r>
        <w:t>The JSP processing pipeline follows the standard Java Enterprise Edition (Jakarta EE) web component lifecycle:</w:t>
      </w:r>
    </w:p>
    <w:p w14:paraId="F96DFC12">
      <w:pPr>
        <w:pStyle w:val="style48"/>
        <w:spacing w:after="60"/>
        <w:rPr/>
      </w:pPr>
      <w:r>
        <w:rPr>
          <w:b/>
        </w:rPr>
        <w:t xml:space="preserve">Translation &amp; Compilation: </w:t>
      </w:r>
      <w:r>
        <w:t>The JSP file is parsed and translated into a Java Servlet source file (.java), which is then compiled into Java bytecode (.class) by the servlet container (e.g., Apache Tomcat, Eclipse Jetty). This compilation step occurs once upon initial invocation or pre-compilation.</w:t>
      </w:r>
    </w:p>
    <w:p w14:paraId="F262D876">
      <w:pPr>
        <w:pStyle w:val="style48"/>
        <w:spacing w:after="60"/>
        <w:rPr/>
      </w:pPr>
      <w:r>
        <w:rPr>
          <w:b/>
        </w:rPr>
        <w:t xml:space="preserve">Classloading &amp; Execution: </w:t>
      </w:r>
      <w:r>
        <w:t>The compiled servlet is loaded into the Java Virtual Machine (JVM), initialized via jspInit(), and serves requests through the _jspService() method.</w:t>
      </w:r>
    </w:p>
    <w:p w14:paraId="D4ABC8E6">
      <w:pPr>
        <w:pStyle w:val="style48"/>
        <w:spacing w:after="60"/>
        <w:rPr/>
      </w:pPr>
      <w:r>
        <w:rPr>
          <w:b/>
        </w:rPr>
        <w:t xml:space="preserve">Data Extraction &amp; Imperative Assembly: </w:t>
      </w:r>
      <w:r>
        <w:t>XML data is typically deserialized into Java Domain/DTO objects (via JAXB, Jackson, or DOM/SAX parsers) within a Controller/Servlet and placed in request scope. The JSP accesses these beans via Expression Language (EL) and JSTL (&lt;c:forEach&gt;, &lt;c:if&gt;), writing HTML tags directly to the response output stream buffer.</w:t>
      </w:r>
    </w:p>
    <w:p w14:paraId="420CAA8A">
      <w:pPr>
        <w:pStyle w:val="style0"/>
        <w:keepNext/>
        <w:spacing w:before="240" w:after="80"/>
        <w:rPr/>
      </w:pPr>
      <w:r>
        <w:rPr>
          <w:b/>
          <w:color w:val="4a777a"/>
          <w:sz w:val="25"/>
        </w:rPr>
        <w:t>1.2 System Performance, Resource Utilization, and Scalability</w:t>
      </w:r>
    </w:p>
    <w:p w14:paraId="55018B7A">
      <w:pPr>
        <w:pStyle w:val="style0"/>
        <w:rPr/>
      </w:pPr>
      <w:r>
        <w:t>From a performance and systems-architecture standpoint, the two technologies exhibit fundamentally different memory and CPU profiles:</w:t>
      </w:r>
    </w:p>
    <w:tbl>
      <w:tblPr>
        <w:tblW w:w="0" w:type="auto"/>
        <w:jc w:val="center"/>
        <w:tblLook w:val="04A0" w:firstRow="1" w:lastRow="0" w:firstColumn="1" w:lastColumn="0" w:noHBand="0" w:noVBand="1"/>
      </w:tblPr>
      <w:tblGrid>
        <w:gridCol w:w="2160"/>
        <w:gridCol w:w="3600"/>
        <w:gridCol w:w="3600"/>
      </w:tblGrid>
      <w:tr w14:paraId="723E660D">
        <w:trPr>
          <w:jc w:val="center"/>
        </w:trPr>
        <w:tc>
          <w:tcPr>
            <w:tcW w:w="2160" w:type="dxa"/>
            <w:tcBorders/>
            <w:shd w:val="nil" w:color="auto" w:fill="1b365d"/>
            <w:tcMar>
              <w:top w:w="140" w:type="dxa"/>
              <w:left w:w="140" w:type="dxa"/>
              <w:bottom w:w="140" w:type="dxa"/>
              <w:right w:w="140" w:type="dxa"/>
            </w:tcMar>
            <w:vAlign w:val="center"/>
          </w:tcPr>
          <w:p w14:paraId="9C922631">
            <w:pPr>
              <w:pStyle w:val="style0"/>
              <w:spacing w:before="0" w:after="0"/>
              <w:rPr/>
            </w:pPr>
            <w:r>
              <w:rPr>
                <w:b/>
                <w:color w:val="ffffff"/>
                <w:sz w:val="20"/>
              </w:rPr>
              <w:t>Evaluation Metric</w:t>
            </w:r>
          </w:p>
        </w:tc>
        <w:tc>
          <w:tcPr>
            <w:tcW w:w="3600" w:type="dxa"/>
            <w:tcBorders/>
            <w:shd w:val="nil" w:color="auto" w:fill="1b365d"/>
            <w:tcMar>
              <w:top w:w="140" w:type="dxa"/>
              <w:left w:w="140" w:type="dxa"/>
              <w:bottom w:w="140" w:type="dxa"/>
              <w:right w:w="140" w:type="dxa"/>
            </w:tcMar>
            <w:vAlign w:val="center"/>
          </w:tcPr>
          <w:p w14:paraId="4882407C">
            <w:pPr>
              <w:pStyle w:val="style0"/>
              <w:spacing w:before="0" w:after="0"/>
              <w:rPr/>
            </w:pPr>
            <w:r>
              <w:rPr>
                <w:b/>
                <w:color w:val="ffffff"/>
                <w:sz w:val="20"/>
              </w:rPr>
              <w:t>XSLT-Based Transformation</w:t>
            </w:r>
          </w:p>
        </w:tc>
        <w:tc>
          <w:tcPr>
            <w:tcW w:w="3600" w:type="dxa"/>
            <w:tcBorders/>
            <w:shd w:val="nil" w:color="auto" w:fill="1b365d"/>
            <w:tcMar>
              <w:top w:w="140" w:type="dxa"/>
              <w:left w:w="140" w:type="dxa"/>
              <w:bottom w:w="140" w:type="dxa"/>
              <w:right w:w="140" w:type="dxa"/>
            </w:tcMar>
            <w:vAlign w:val="center"/>
          </w:tcPr>
          <w:p w14:paraId="2E10D16E">
            <w:pPr>
              <w:pStyle w:val="style0"/>
              <w:spacing w:before="0" w:after="0"/>
              <w:rPr/>
            </w:pPr>
            <w:r>
              <w:rPr>
                <w:b/>
                <w:color w:val="ffffff"/>
                <w:sz w:val="20"/>
              </w:rPr>
              <w:t>JSP-Based Dynamic Rendering</w:t>
            </w:r>
          </w:p>
        </w:tc>
      </w:tr>
      <w:tr w14:paraId="CD5A5E21">
        <w:tblPrEx/>
        <w:trPr>
          <w:jc w:val="center"/>
        </w:trPr>
        <w:tc>
          <w:tcPr>
            <w:tcW w:w="2160" w:type="dxa"/>
            <w:tcBorders/>
            <w:shd w:val="nil" w:color="auto" w:fill="ffffff"/>
            <w:tcMar>
              <w:top w:w="100" w:type="dxa"/>
              <w:left w:w="130" w:type="dxa"/>
              <w:bottom w:w="100" w:type="dxa"/>
              <w:right w:w="130" w:type="dxa"/>
            </w:tcMar>
            <w:vAlign w:val="center"/>
          </w:tcPr>
          <w:p w14:paraId="5A7D1AEA">
            <w:pPr>
              <w:pStyle w:val="style0"/>
              <w:spacing w:before="0" w:after="0" w:lineRule="auto" w:line="264"/>
              <w:rPr/>
            </w:pPr>
            <w:r>
              <w:rPr>
                <w:sz w:val="19"/>
              </w:rPr>
              <w:t>Memory Footprint</w:t>
            </w:r>
          </w:p>
        </w:tc>
        <w:tc>
          <w:tcPr>
            <w:tcW w:w="3600" w:type="dxa"/>
            <w:tcBorders/>
            <w:shd w:val="nil" w:color="auto" w:fill="ffffff"/>
            <w:tcMar>
              <w:top w:w="100" w:type="dxa"/>
              <w:left w:w="130" w:type="dxa"/>
              <w:bottom w:w="100" w:type="dxa"/>
              <w:right w:w="130" w:type="dxa"/>
            </w:tcMar>
            <w:vAlign w:val="center"/>
          </w:tcPr>
          <w:p w14:paraId="B61D41BB">
            <w:pPr>
              <w:pStyle w:val="style0"/>
              <w:spacing w:before="0" w:after="0" w:lineRule="auto" w:line="264"/>
              <w:rPr/>
            </w:pPr>
            <w:r>
              <w:rPr>
                <w:sz w:val="19"/>
              </w:rPr>
              <w:t>High. Requires holding the full XML source tree and stylesheet DOM in memory during processing. Typically scales at 4x-10x the raw XML file size unless streaming XSLT 3.0 is employed.</w:t>
            </w:r>
          </w:p>
        </w:tc>
        <w:tc>
          <w:tcPr>
            <w:tcW w:w="3600" w:type="dxa"/>
            <w:tcBorders/>
            <w:shd w:val="nil" w:color="auto" w:fill="ffffff"/>
            <w:tcMar>
              <w:top w:w="100" w:type="dxa"/>
              <w:left w:w="130" w:type="dxa"/>
              <w:bottom w:w="100" w:type="dxa"/>
              <w:right w:w="130" w:type="dxa"/>
            </w:tcMar>
            <w:vAlign w:val="center"/>
          </w:tcPr>
          <w:p w14:paraId="FA047E62">
            <w:pPr>
              <w:pStyle w:val="style0"/>
              <w:spacing w:before="0" w:after="0" w:lineRule="auto" w:line="264"/>
              <w:rPr/>
            </w:pPr>
            <w:r>
              <w:rPr>
                <w:sz w:val="19"/>
              </w:rPr>
              <w:t>Low to Moderate. Operates on pre-parsed POJOs/Java collections. Streams HTML response directly to output buffer with minimal overhead per request.</w:t>
            </w:r>
          </w:p>
        </w:tc>
      </w:tr>
      <w:tr w14:paraId="8200B92E">
        <w:tblPrEx/>
        <w:trPr>
          <w:jc w:val="center"/>
        </w:trPr>
        <w:tc>
          <w:tcPr>
            <w:tcW w:w="2160" w:type="dxa"/>
            <w:tcBorders/>
            <w:shd w:val="nil" w:color="auto" w:fill="f8fafc"/>
            <w:tcMar>
              <w:top w:w="100" w:type="dxa"/>
              <w:left w:w="130" w:type="dxa"/>
              <w:bottom w:w="100" w:type="dxa"/>
              <w:right w:w="130" w:type="dxa"/>
            </w:tcMar>
            <w:vAlign w:val="center"/>
          </w:tcPr>
          <w:p w14:paraId="EF47555F">
            <w:pPr>
              <w:pStyle w:val="style0"/>
              <w:spacing w:before="0" w:after="0" w:lineRule="auto" w:line="264"/>
              <w:rPr/>
            </w:pPr>
            <w:r>
              <w:rPr>
                <w:sz w:val="19"/>
              </w:rPr>
              <w:t>CPU Utilization</w:t>
            </w:r>
          </w:p>
        </w:tc>
        <w:tc>
          <w:tcPr>
            <w:tcW w:w="3600" w:type="dxa"/>
            <w:tcBorders/>
            <w:shd w:val="nil" w:color="auto" w:fill="f8fafc"/>
            <w:tcMar>
              <w:top w:w="100" w:type="dxa"/>
              <w:left w:w="130" w:type="dxa"/>
              <w:bottom w:w="100" w:type="dxa"/>
              <w:right w:w="130" w:type="dxa"/>
            </w:tcMar>
            <w:vAlign w:val="center"/>
          </w:tcPr>
          <w:p w14:paraId="EFA56970">
            <w:pPr>
              <w:pStyle w:val="style0"/>
              <w:spacing w:before="0" w:after="0" w:lineRule="auto" w:line="264"/>
              <w:rPr/>
            </w:pPr>
            <w:r>
              <w:rPr>
                <w:sz w:val="19"/>
              </w:rPr>
              <w:t>Intensive. Heavy pattern-matching algorithms, XPath node evaluations, and recursive template dispatch consume significant CPU cycles.</w:t>
            </w:r>
          </w:p>
        </w:tc>
        <w:tc>
          <w:tcPr>
            <w:tcW w:w="3600" w:type="dxa"/>
            <w:tcBorders/>
            <w:shd w:val="nil" w:color="auto" w:fill="f8fafc"/>
            <w:tcMar>
              <w:top w:w="100" w:type="dxa"/>
              <w:left w:w="130" w:type="dxa"/>
              <w:bottom w:w="100" w:type="dxa"/>
              <w:right w:w="130" w:type="dxa"/>
            </w:tcMar>
            <w:vAlign w:val="center"/>
          </w:tcPr>
          <w:p w14:paraId="D20B0E1D">
            <w:pPr>
              <w:pStyle w:val="style0"/>
              <w:spacing w:before="0" w:after="0" w:lineRule="auto" w:line="264"/>
              <w:rPr/>
            </w:pPr>
            <w:r>
              <w:rPr>
                <w:sz w:val="19"/>
              </w:rPr>
              <w:t>Low to Moderate. Executes compiled Java bytecode directly on the JVM with JIT compilation optimizations, loops, and direct string writing.</w:t>
            </w:r>
          </w:p>
        </w:tc>
      </w:tr>
      <w:tr w14:paraId="22179C46">
        <w:tblPrEx/>
        <w:trPr>
          <w:jc w:val="center"/>
        </w:trPr>
        <w:tc>
          <w:tcPr>
            <w:tcW w:w="2160" w:type="dxa"/>
            <w:tcBorders/>
            <w:shd w:val="nil" w:color="auto" w:fill="ffffff"/>
            <w:tcMar>
              <w:top w:w="100" w:type="dxa"/>
              <w:left w:w="130" w:type="dxa"/>
              <w:bottom w:w="100" w:type="dxa"/>
              <w:right w:w="130" w:type="dxa"/>
            </w:tcMar>
            <w:vAlign w:val="center"/>
          </w:tcPr>
          <w:p w14:paraId="1710FA09">
            <w:pPr>
              <w:pStyle w:val="style0"/>
              <w:spacing w:before="0" w:after="0" w:lineRule="auto" w:line="264"/>
              <w:rPr/>
            </w:pPr>
            <w:r>
              <w:rPr>
                <w:sz w:val="19"/>
              </w:rPr>
              <w:t>Caching Mechanics</w:t>
            </w:r>
          </w:p>
        </w:tc>
        <w:tc>
          <w:tcPr>
            <w:tcW w:w="3600" w:type="dxa"/>
            <w:tcBorders/>
            <w:shd w:val="nil" w:color="auto" w:fill="ffffff"/>
            <w:tcMar>
              <w:top w:w="100" w:type="dxa"/>
              <w:left w:w="130" w:type="dxa"/>
              <w:bottom w:w="100" w:type="dxa"/>
              <w:right w:w="130" w:type="dxa"/>
            </w:tcMar>
            <w:vAlign w:val="center"/>
          </w:tcPr>
          <w:p w14:paraId="4818DF8C">
            <w:pPr>
              <w:pStyle w:val="style0"/>
              <w:spacing w:before="0" w:after="0" w:lineRule="auto" w:line="264"/>
              <w:rPr/>
            </w:pPr>
            <w:r>
              <w:rPr>
                <w:sz w:val="19"/>
              </w:rPr>
              <w:t>Dual-tier: Compiled XSLT Templates objects can be cached in memory. Transformed static outputs can be cached at reverse-proxy/CDN layers. Client-side XSLT can offload 100% of CPU work to user browsers.</w:t>
            </w:r>
          </w:p>
        </w:tc>
        <w:tc>
          <w:tcPr>
            <w:tcW w:w="3600" w:type="dxa"/>
            <w:tcBorders/>
            <w:shd w:val="nil" w:color="auto" w:fill="ffffff"/>
            <w:tcMar>
              <w:top w:w="100" w:type="dxa"/>
              <w:left w:w="130" w:type="dxa"/>
              <w:bottom w:w="100" w:type="dxa"/>
              <w:right w:w="130" w:type="dxa"/>
            </w:tcMar>
            <w:vAlign w:val="center"/>
          </w:tcPr>
          <w:p w14:paraId="B2D6D7DE">
            <w:pPr>
              <w:pStyle w:val="style0"/>
              <w:spacing w:before="0" w:after="0" w:lineRule="auto" w:line="264"/>
              <w:rPr/>
            </w:pPr>
            <w:r>
              <w:rPr>
                <w:sz w:val="19"/>
              </w:rPr>
              <w:t>Servlet instance and compiled bytecode cached in JVM memory. Fragment output caching requires web application framework taglibs (e.g., Ehcache, OSCache).</w:t>
            </w:r>
          </w:p>
        </w:tc>
      </w:tr>
      <w:tr w14:paraId="C7B67B66">
        <w:tblPrEx/>
        <w:trPr>
          <w:jc w:val="center"/>
        </w:trPr>
        <w:tc>
          <w:tcPr>
            <w:tcW w:w="2160" w:type="dxa"/>
            <w:tcBorders/>
            <w:shd w:val="nil" w:color="auto" w:fill="f8fafc"/>
            <w:tcMar>
              <w:top w:w="100" w:type="dxa"/>
              <w:left w:w="130" w:type="dxa"/>
              <w:bottom w:w="100" w:type="dxa"/>
              <w:right w:w="130" w:type="dxa"/>
            </w:tcMar>
            <w:vAlign w:val="center"/>
          </w:tcPr>
          <w:p w14:paraId="3C887944">
            <w:pPr>
              <w:pStyle w:val="style0"/>
              <w:spacing w:before="0" w:after="0" w:lineRule="auto" w:line="264"/>
              <w:rPr/>
            </w:pPr>
            <w:r>
              <w:rPr>
                <w:sz w:val="19"/>
              </w:rPr>
              <w:t>Throughput Under Load</w:t>
            </w:r>
          </w:p>
        </w:tc>
        <w:tc>
          <w:tcPr>
            <w:tcW w:w="3600" w:type="dxa"/>
            <w:tcBorders/>
            <w:shd w:val="nil" w:color="auto" w:fill="f8fafc"/>
            <w:tcMar>
              <w:top w:w="100" w:type="dxa"/>
              <w:left w:w="130" w:type="dxa"/>
              <w:bottom w:w="100" w:type="dxa"/>
              <w:right w:w="130" w:type="dxa"/>
            </w:tcMar>
            <w:vAlign w:val="center"/>
          </w:tcPr>
          <w:p w14:paraId="9CF3C924">
            <w:pPr>
              <w:pStyle w:val="style0"/>
              <w:spacing w:before="0" w:after="0" w:lineRule="auto" w:line="264"/>
              <w:rPr/>
            </w:pPr>
            <w:r>
              <w:rPr>
                <w:sz w:val="19"/>
              </w:rPr>
              <w:t>Lower concurrent server-side throughput for large XML files due to tree parsing overhead. Extremely high throughput if offloaded to client-side XSLT engines.</w:t>
            </w:r>
          </w:p>
        </w:tc>
        <w:tc>
          <w:tcPr>
            <w:tcW w:w="3600" w:type="dxa"/>
            <w:tcBorders/>
            <w:shd w:val="nil" w:color="auto" w:fill="f8fafc"/>
            <w:tcMar>
              <w:top w:w="100" w:type="dxa"/>
              <w:left w:w="130" w:type="dxa"/>
              <w:bottom w:w="100" w:type="dxa"/>
              <w:right w:w="130" w:type="dxa"/>
            </w:tcMar>
            <w:vAlign w:val="center"/>
          </w:tcPr>
          <w:p w14:paraId="E56AC90F">
            <w:pPr>
              <w:pStyle w:val="style0"/>
              <w:spacing w:before="0" w:after="0" w:lineRule="auto" w:line="264"/>
              <w:rPr/>
            </w:pPr>
            <w:r>
              <w:rPr>
                <w:sz w:val="19"/>
              </w:rPr>
              <w:t>Consistently high server-side request throughput; JVM garbage collection overhead is predictable when pooling lightweight DTOs.</w:t>
            </w:r>
          </w:p>
        </w:tc>
      </w:tr>
      <w:tr w14:paraId="280E7105">
        <w:tblPrEx/>
        <w:trPr>
          <w:jc w:val="center"/>
        </w:trPr>
        <w:tc>
          <w:tcPr>
            <w:tcW w:w="2160" w:type="dxa"/>
            <w:tcBorders/>
            <w:shd w:val="nil" w:color="auto" w:fill="ffffff"/>
            <w:tcMar>
              <w:top w:w="100" w:type="dxa"/>
              <w:left w:w="130" w:type="dxa"/>
              <w:bottom w:w="100" w:type="dxa"/>
              <w:right w:w="130" w:type="dxa"/>
            </w:tcMar>
            <w:vAlign w:val="center"/>
          </w:tcPr>
          <w:p w14:paraId="26AA6B4D">
            <w:pPr>
              <w:pStyle w:val="style0"/>
              <w:spacing w:before="0" w:after="0" w:lineRule="auto" w:line="264"/>
              <w:rPr/>
            </w:pPr>
            <w:r>
              <w:rPr>
                <w:sz w:val="19"/>
              </w:rPr>
              <w:t>Output Multi-Format Flexibility</w:t>
            </w:r>
          </w:p>
        </w:tc>
        <w:tc>
          <w:tcPr>
            <w:tcW w:w="3600" w:type="dxa"/>
            <w:tcBorders/>
            <w:shd w:val="nil" w:color="auto" w:fill="ffffff"/>
            <w:tcMar>
              <w:top w:w="100" w:type="dxa"/>
              <w:left w:w="130" w:type="dxa"/>
              <w:bottom w:w="100" w:type="dxa"/>
              <w:right w:w="130" w:type="dxa"/>
            </w:tcMar>
            <w:vAlign w:val="center"/>
          </w:tcPr>
          <w:p w14:paraId="3A9675A4">
            <w:pPr>
              <w:pStyle w:val="style0"/>
              <w:spacing w:before="0" w:after="0" w:lineRule="auto" w:line="264"/>
              <w:rPr/>
            </w:pPr>
            <w:r>
              <w:rPr>
                <w:sz w:val="19"/>
              </w:rPr>
              <w:t>Native multi-target support: A single XML data source can be transformed into HTML, PDF (via XSL-FO), CSV, JSON, or RTF simply by switching the XSLT stylesheet.</w:t>
            </w:r>
          </w:p>
        </w:tc>
        <w:tc>
          <w:tcPr>
            <w:tcW w:w="3600" w:type="dxa"/>
            <w:tcBorders/>
            <w:shd w:val="nil" w:color="auto" w:fill="ffffff"/>
            <w:tcMar>
              <w:top w:w="100" w:type="dxa"/>
              <w:left w:w="130" w:type="dxa"/>
              <w:bottom w:w="100" w:type="dxa"/>
              <w:right w:w="130" w:type="dxa"/>
            </w:tcMar>
            <w:vAlign w:val="center"/>
          </w:tcPr>
          <w:p w14:paraId="B1C40B78">
            <w:pPr>
              <w:pStyle w:val="style0"/>
              <w:spacing w:before="0" w:after="0" w:lineRule="auto" w:line="264"/>
              <w:rPr/>
            </w:pPr>
            <w:r>
              <w:rPr>
                <w:sz w:val="19"/>
              </w:rPr>
              <w:t>Tightly coupled to HTML/web markup. Emitting non-HTML formats (PDF, Excel) requires dedicated third-party libraries (e.g., Apache POI, iText) inside helper controllers.</w:t>
            </w:r>
          </w:p>
        </w:tc>
      </w:tr>
    </w:tbl>
    <w:p w14:paraId="67CBD115">
      <w:pPr>
        <w:pStyle w:val="style0"/>
        <w:spacing w:after="160"/>
        <w:rPr/>
      </w:pPr>
    </w:p>
    <w:p w14:paraId="86F90984">
      <w:pPr>
        <w:pStyle w:val="style0"/>
        <w:keepNext/>
        <w:spacing w:before="240" w:after="80"/>
        <w:rPr/>
      </w:pPr>
      <w:r>
        <w:rPr>
          <w:b/>
          <w:color w:val="4a777a"/>
          <w:sz w:val="25"/>
        </w:rPr>
        <w:t>1.3 Real-World Application Scenarios and Strategic Recommendations</w:t>
      </w:r>
    </w:p>
    <w:p w14:paraId="1BC88CB5">
      <w:pPr>
        <w:pStyle w:val="style0"/>
        <w:rPr/>
      </w:pPr>
      <w:r>
        <w:rPr>
          <w:b/>
        </w:rPr>
        <w:t>Recommended Scenarios for XSLT:</w:t>
      </w:r>
      <w:r>
        <w:t xml:space="preserve"> XSLT is optimal in multi-channel reporting systems (e.g., publishing financial statements, medical lab reports, or regulatory filings) where the identical canonical XML dataset must be rendered across diverse presentation mediums (HTML for desktop, WML/XML for mobile, and XSL-FO for printable PDF). It is also ideal in B2B enterprise data interchange where documents must be transformed between disparate schemas without writing procedural code.</w:t>
      </w:r>
    </w:p>
    <w:p w14:paraId="FDD6F2FC">
      <w:pPr>
        <w:pStyle w:val="style0"/>
        <w:rPr/>
      </w:pPr>
      <w:r>
        <w:rPr>
          <w:b/>
        </w:rPr>
        <w:t>Recommended Scenarios for JSP:</w:t>
      </w:r>
      <w:r>
        <w:t xml:space="preserve"> JSP is optimal for highly interactive, stateful web applications (e.g., enterprise transactional portals, intranet dashboards, banking applications) requiring deep integration with Spring/Jakarta MVC backends, custom session handling, role-based UI component rendering, and enterprise security filters.</w:t>
      </w:r>
    </w:p>
    <w:p w14:paraId="7902E50A">
      <w:pPr>
        <w:pStyle w:val="style0"/>
        <w:keepNext/>
        <w:spacing w:before="320" w:after="120"/>
        <w:rPr/>
      </w:pPr>
      <w:r>
        <w:rPr>
          <w:b/>
          <w:color w:val="1b365d"/>
          <w:sz w:val="30"/>
        </w:rPr>
        <w:t>Question 2: Comparative Analysis of MVC Architecture: JSP/Servlets vs. Modern PHP Frameworks (Laravel / Symfony)</w:t>
      </w:r>
    </w:p>
    <w:tbl>
      <w:tblPr>
        <w:tblW w:w="0" w:type="auto"/>
        <w:jc w:val="center"/>
        <w:tblLook w:val="04A0" w:firstRow="1" w:lastRow="0" w:firstColumn="1" w:lastColumn="0" w:noHBand="0" w:noVBand="1"/>
      </w:tblPr>
      <w:tblGrid>
        <w:gridCol w:w="9360"/>
      </w:tblGrid>
      <w:tr w14:paraId="DC00AAD9">
        <w:trPr>
          <w:jc w:val="center"/>
        </w:trPr>
        <w:tc>
          <w:tcPr>
            <w:tcW w:w="9360" w:type="dxa"/>
            <w:tcBorders>
              <w:top w:val="none" w:sz="4" w:space="0" w:color="auto"/>
              <w:left w:val="single" w:sz="24" w:space="0" w:color="1b365d"/>
              <w:bottom w:val="none" w:sz="4" w:space="0" w:color="auto"/>
              <w:right w:val="none" w:sz="4" w:space="0" w:color="auto"/>
            </w:tcBorders>
            <w:shd w:val="nil" w:color="auto" w:fill="f0f4f8"/>
            <w:tcMar>
              <w:top w:w="100" w:type="dxa"/>
              <w:left w:w="150" w:type="dxa"/>
              <w:bottom w:w="100" w:type="dxa"/>
              <w:right w:w="150" w:type="dxa"/>
            </w:tcMar>
          </w:tcPr>
          <w:p w14:paraId="9448DF80">
            <w:pPr>
              <w:pStyle w:val="style0"/>
              <w:spacing w:before="0" w:after="0" w:lineRule="auto" w:line="276"/>
              <w:rPr/>
            </w:pPr>
            <w:r>
              <w:rPr>
                <w:b/>
                <w:color w:val="1b365d"/>
                <w:sz w:val="20"/>
              </w:rPr>
              <w:t xml:space="preserve">Architectural Requirement: </w:t>
            </w:r>
            <w:r>
              <w:rPr>
                <w:sz w:val="20"/>
              </w:rPr>
              <w:t>Context: An enterprise e-commerce platform requires a robust, scalable architecture to handle high concurrent user traffic, dynamic transactional workloads, and complex catalog management. This section compares enterprise Java (JSP/Servlets / Jakarta EE) with modern PHP MVC frameworks (Laravel / Symfony) across architectural design, separation of concerns, scalability, maintainability, and backend integration.</w:t>
            </w:r>
          </w:p>
        </w:tc>
      </w:tr>
    </w:tbl>
    <w:p w14:paraId="5CDB02B4">
      <w:pPr>
        <w:pStyle w:val="style0"/>
        <w:spacing w:after="80"/>
        <w:rPr/>
      </w:pPr>
    </w:p>
    <w:p w14:paraId="759A2891">
      <w:pPr>
        <w:pStyle w:val="style0"/>
        <w:keepNext/>
        <w:spacing w:before="240" w:after="80"/>
        <w:rPr/>
      </w:pPr>
      <w:r>
        <w:rPr>
          <w:b/>
          <w:color w:val="4a777a"/>
          <w:sz w:val="25"/>
        </w:rPr>
        <w:t>2.1 Architectural Design Principles and Separation of Concerns</w:t>
      </w:r>
    </w:p>
    <w:p w14:paraId="4996F151">
      <w:pPr>
        <w:pStyle w:val="style0"/>
        <w:rPr/>
      </w:pPr>
      <w:r>
        <w:t>Both ecosystems implement the Model-View-Controller (MVC) architectural pattern to enforce clear decoupling between domain data (Model), presentation markup (View), and flow control (Controller), but their implementation paradigms diverge significantly:</w:t>
      </w:r>
    </w:p>
    <w:p w14:paraId="3AA71241">
      <w:pPr>
        <w:pStyle w:val="style48"/>
        <w:spacing w:after="60"/>
        <w:rPr/>
      </w:pPr>
      <w:r>
        <w:rPr>
          <w:b/>
        </w:rPr>
        <w:t xml:space="preserve">Java JSP/Servlet Paradigm (Jakarta MVC / Model 2 Architecture): </w:t>
      </w:r>
      <w:r>
        <w:t>Follows the classic Model-2 architecture. The Controller is implemented as an HttpServlet (or Spring DispatcherServlet) intercepting HTTP requests, delegating business operations to Service/EJB components, and setting data attributes in the HttpServletRequest or HttpSession scope. The View is realized using JSP templates, JSTL, or modern template engines (Thymeleaf), accessing Model beans strictly through Expression Language without embedding business logic. The Model comprises POJOs, Domain Entities, and JPA/Hibernate DAOs.</w:t>
      </w:r>
    </w:p>
    <w:p w14:paraId="7222E64B">
      <w:pPr>
        <w:pStyle w:val="style48"/>
        <w:spacing w:after="60"/>
        <w:rPr/>
      </w:pPr>
      <w:r>
        <w:rPr>
          <w:b/>
        </w:rPr>
        <w:t xml:space="preserve">Modern PHP Paradigm (Laravel / Symfony Architecture): </w:t>
      </w:r>
      <w:r>
        <w:t>Employs modern Front-Controller architectures (index.php routing requests through the HTTP Kernel). Controllers are object-oriented classes utilizing Dependency Injection containers. Views are decoupled using compiled templating engines (Blade in Laravel, Twig in Symfony) providing template inheritance, components, and automatic XSS escaping. The Model layer is implemented via Active Record (Laravel Eloquent) or Data Mapper (Symfony Doctrine ORM).</w:t>
      </w:r>
    </w:p>
    <w:p w14:paraId="484CF88F">
      <w:pPr>
        <w:pStyle w:val="style0"/>
        <w:keepNext/>
        <w:spacing w:before="240" w:after="80"/>
        <w:rPr/>
      </w:pPr>
      <w:r>
        <w:rPr>
          <w:b/>
          <w:color w:val="4a777a"/>
          <w:sz w:val="25"/>
        </w:rPr>
        <w:t>2.2 Comprehensive Architecture &amp; Scalability Matrix</w:t>
      </w:r>
    </w:p>
    <w:tbl>
      <w:tblPr>
        <w:tblW w:w="0" w:type="auto"/>
        <w:jc w:val="center"/>
        <w:tblLook w:val="04A0" w:firstRow="1" w:lastRow="0" w:firstColumn="1" w:lastColumn="0" w:noHBand="0" w:noVBand="1"/>
      </w:tblPr>
      <w:tblGrid>
        <w:gridCol w:w="2304"/>
        <w:gridCol w:w="3528"/>
        <w:gridCol w:w="3528"/>
      </w:tblGrid>
      <w:tr w14:paraId="E46F7E0E">
        <w:trPr>
          <w:jc w:val="center"/>
        </w:trPr>
        <w:tc>
          <w:tcPr>
            <w:tcW w:w="2304" w:type="dxa"/>
            <w:tcBorders/>
            <w:shd w:val="nil" w:color="auto" w:fill="1b365d"/>
            <w:tcMar>
              <w:top w:w="140" w:type="dxa"/>
              <w:left w:w="140" w:type="dxa"/>
              <w:bottom w:w="140" w:type="dxa"/>
              <w:right w:w="140" w:type="dxa"/>
            </w:tcMar>
            <w:vAlign w:val="center"/>
          </w:tcPr>
          <w:p w14:paraId="4BE69391">
            <w:pPr>
              <w:pStyle w:val="style0"/>
              <w:spacing w:before="0" w:after="0"/>
              <w:rPr/>
            </w:pPr>
            <w:r>
              <w:rPr>
                <w:b/>
                <w:color w:val="ffffff"/>
                <w:sz w:val="20"/>
              </w:rPr>
              <w:t>Architectural Dimension</w:t>
            </w:r>
          </w:p>
        </w:tc>
        <w:tc>
          <w:tcPr>
            <w:tcW w:w="3528" w:type="dxa"/>
            <w:tcBorders/>
            <w:shd w:val="nil" w:color="auto" w:fill="1b365d"/>
            <w:tcMar>
              <w:top w:w="140" w:type="dxa"/>
              <w:left w:w="140" w:type="dxa"/>
              <w:bottom w:w="140" w:type="dxa"/>
              <w:right w:w="140" w:type="dxa"/>
            </w:tcMar>
            <w:vAlign w:val="center"/>
          </w:tcPr>
          <w:p w14:paraId="FCB237E2">
            <w:pPr>
              <w:pStyle w:val="style0"/>
              <w:spacing w:before="0" w:after="0"/>
              <w:rPr/>
            </w:pPr>
            <w:r>
              <w:rPr>
                <w:b/>
                <w:color w:val="ffffff"/>
                <w:sz w:val="20"/>
              </w:rPr>
              <w:t>Java JSP / Servlet Ecosystem</w:t>
            </w:r>
          </w:p>
        </w:tc>
        <w:tc>
          <w:tcPr>
            <w:tcW w:w="3528" w:type="dxa"/>
            <w:tcBorders/>
            <w:shd w:val="nil" w:color="auto" w:fill="1b365d"/>
            <w:tcMar>
              <w:top w:w="140" w:type="dxa"/>
              <w:left w:w="140" w:type="dxa"/>
              <w:bottom w:w="140" w:type="dxa"/>
              <w:right w:w="140" w:type="dxa"/>
            </w:tcMar>
            <w:vAlign w:val="center"/>
          </w:tcPr>
          <w:p w14:paraId="48F83ED3">
            <w:pPr>
              <w:pStyle w:val="style0"/>
              <w:spacing w:before="0" w:after="0"/>
              <w:rPr/>
            </w:pPr>
            <w:r>
              <w:rPr>
                <w:b/>
                <w:color w:val="ffffff"/>
                <w:sz w:val="20"/>
              </w:rPr>
              <w:t>Modern PHP (Laravel / Symfony)</w:t>
            </w:r>
          </w:p>
        </w:tc>
      </w:tr>
      <w:tr w14:paraId="0F7FFDE8">
        <w:tblPrEx/>
        <w:trPr>
          <w:jc w:val="center"/>
        </w:trPr>
        <w:tc>
          <w:tcPr>
            <w:tcW w:w="2304" w:type="dxa"/>
            <w:tcBorders/>
            <w:shd w:val="nil" w:color="auto" w:fill="ffffff"/>
            <w:tcMar>
              <w:top w:w="100" w:type="dxa"/>
              <w:left w:w="130" w:type="dxa"/>
              <w:bottom w:w="100" w:type="dxa"/>
              <w:right w:w="130" w:type="dxa"/>
            </w:tcMar>
            <w:vAlign w:val="center"/>
          </w:tcPr>
          <w:p w14:paraId="87A74D3C">
            <w:pPr>
              <w:pStyle w:val="style0"/>
              <w:spacing w:before="0" w:after="0" w:lineRule="auto" w:line="264"/>
              <w:rPr/>
            </w:pPr>
            <w:r>
              <w:rPr>
                <w:sz w:val="19"/>
              </w:rPr>
              <w:t>Concurrency &amp; Threading Model</w:t>
            </w:r>
          </w:p>
        </w:tc>
        <w:tc>
          <w:tcPr>
            <w:tcW w:w="3528" w:type="dxa"/>
            <w:tcBorders/>
            <w:shd w:val="nil" w:color="auto" w:fill="ffffff"/>
            <w:tcMar>
              <w:top w:w="100" w:type="dxa"/>
              <w:left w:w="130" w:type="dxa"/>
              <w:bottom w:w="100" w:type="dxa"/>
              <w:right w:w="130" w:type="dxa"/>
            </w:tcMar>
            <w:vAlign w:val="center"/>
          </w:tcPr>
          <w:p w14:paraId="5A01DE37">
            <w:pPr>
              <w:pStyle w:val="style0"/>
              <w:spacing w:before="0" w:after="0" w:lineRule="auto" w:line="264"/>
              <w:rPr/>
            </w:pPr>
            <w:r>
              <w:rPr>
                <w:sz w:val="19"/>
              </w:rPr>
              <w:t>Multi-Threaded Shared-Memory Architecture. A single application server process (JVM) handles thousands of concurrent requests across worker thread pools. Shared in-memory caching and connection pooling are native.</w:t>
            </w:r>
          </w:p>
        </w:tc>
        <w:tc>
          <w:tcPr>
            <w:tcW w:w="3528" w:type="dxa"/>
            <w:tcBorders/>
            <w:shd w:val="nil" w:color="auto" w:fill="ffffff"/>
            <w:tcMar>
              <w:top w:w="100" w:type="dxa"/>
              <w:left w:w="130" w:type="dxa"/>
              <w:bottom w:w="100" w:type="dxa"/>
              <w:right w:w="130" w:type="dxa"/>
            </w:tcMar>
            <w:vAlign w:val="center"/>
          </w:tcPr>
          <w:p w14:paraId="4186F4D2">
            <w:pPr>
              <w:pStyle w:val="style0"/>
              <w:spacing w:before="0" w:after="0" w:lineRule="auto" w:line="264"/>
              <w:rPr/>
            </w:pPr>
            <w:r>
              <w:rPr>
                <w:sz w:val="19"/>
              </w:rPr>
              <w:t>Shared-Nothing / Process-Isolated Architecture. Traditional PHP spawns worker processes per request (PHP-FPM). Modern deployments leverage async runtimes (Laravel Octane, Swoole, RoadRunner) to retain persistent state in memory.</w:t>
            </w:r>
          </w:p>
        </w:tc>
      </w:tr>
      <w:tr w14:paraId="EE9B36E0">
        <w:tblPrEx/>
        <w:trPr>
          <w:jc w:val="center"/>
        </w:trPr>
        <w:tc>
          <w:tcPr>
            <w:tcW w:w="2304" w:type="dxa"/>
            <w:tcBorders/>
            <w:shd w:val="nil" w:color="auto" w:fill="f8fafc"/>
            <w:tcMar>
              <w:top w:w="100" w:type="dxa"/>
              <w:left w:w="130" w:type="dxa"/>
              <w:bottom w:w="100" w:type="dxa"/>
              <w:right w:w="130" w:type="dxa"/>
            </w:tcMar>
            <w:vAlign w:val="center"/>
          </w:tcPr>
          <w:p w14:paraId="E2F91292">
            <w:pPr>
              <w:pStyle w:val="style0"/>
              <w:spacing w:before="0" w:after="0" w:lineRule="auto" w:line="264"/>
              <w:rPr/>
            </w:pPr>
            <w:r>
              <w:rPr>
                <w:sz w:val="19"/>
              </w:rPr>
              <w:t>ORM &amp; Data Access</w:t>
            </w:r>
          </w:p>
        </w:tc>
        <w:tc>
          <w:tcPr>
            <w:tcW w:w="3528" w:type="dxa"/>
            <w:tcBorders/>
            <w:shd w:val="nil" w:color="auto" w:fill="f8fafc"/>
            <w:tcMar>
              <w:top w:w="100" w:type="dxa"/>
              <w:left w:w="130" w:type="dxa"/>
              <w:bottom w:w="100" w:type="dxa"/>
              <w:right w:w="130" w:type="dxa"/>
            </w:tcMar>
            <w:vAlign w:val="center"/>
          </w:tcPr>
          <w:p w14:paraId="F8D9046F">
            <w:pPr>
              <w:pStyle w:val="style0"/>
              <w:spacing w:before="0" w:after="0" w:lineRule="auto" w:line="264"/>
              <w:rPr/>
            </w:pPr>
            <w:r>
              <w:rPr>
                <w:sz w:val="19"/>
              </w:rPr>
              <w:t>Data Mapper Pattern (JPA / Hibernate). Strictly type-safe, separates domain entities from persistence logic. Features first/second-level entity caches, dirty checking, and complex distributed transaction support (JTA).</w:t>
            </w:r>
          </w:p>
        </w:tc>
        <w:tc>
          <w:tcPr>
            <w:tcW w:w="3528" w:type="dxa"/>
            <w:tcBorders/>
            <w:shd w:val="nil" w:color="auto" w:fill="f8fafc"/>
            <w:tcMar>
              <w:top w:w="100" w:type="dxa"/>
              <w:left w:w="130" w:type="dxa"/>
              <w:bottom w:w="100" w:type="dxa"/>
              <w:right w:w="130" w:type="dxa"/>
            </w:tcMar>
            <w:vAlign w:val="center"/>
          </w:tcPr>
          <w:p w14:paraId="8B62F9AF">
            <w:pPr>
              <w:pStyle w:val="style0"/>
              <w:spacing w:before="0" w:after="0" w:lineRule="auto" w:line="264"/>
              <w:rPr/>
            </w:pPr>
            <w:r>
              <w:rPr>
                <w:sz w:val="19"/>
              </w:rPr>
              <w:t>Laravel uses Eloquent (Active Record pattern: intuitive, rapid CRUD); Symfony uses Doctrine (Data Mapper pattern: highly decoupled). Flexible migration engines and query builders.</w:t>
            </w:r>
          </w:p>
        </w:tc>
      </w:tr>
      <w:tr w14:paraId="E447F7DC">
        <w:tblPrEx/>
        <w:trPr>
          <w:jc w:val="center"/>
        </w:trPr>
        <w:tc>
          <w:tcPr>
            <w:tcW w:w="2304" w:type="dxa"/>
            <w:tcBorders/>
            <w:shd w:val="nil" w:color="auto" w:fill="ffffff"/>
            <w:tcMar>
              <w:top w:w="100" w:type="dxa"/>
              <w:left w:w="130" w:type="dxa"/>
              <w:bottom w:w="100" w:type="dxa"/>
              <w:right w:w="130" w:type="dxa"/>
            </w:tcMar>
            <w:vAlign w:val="center"/>
          </w:tcPr>
          <w:p w14:paraId="BC3A36CF">
            <w:pPr>
              <w:pStyle w:val="style0"/>
              <w:spacing w:before="0" w:after="0" w:lineRule="auto" w:line="264"/>
              <w:rPr/>
            </w:pPr>
            <w:r>
              <w:rPr>
                <w:sz w:val="19"/>
              </w:rPr>
              <w:t>Dependency Injection &amp; Modularity</w:t>
            </w:r>
          </w:p>
        </w:tc>
        <w:tc>
          <w:tcPr>
            <w:tcW w:w="3528" w:type="dxa"/>
            <w:tcBorders/>
            <w:shd w:val="nil" w:color="auto" w:fill="ffffff"/>
            <w:tcMar>
              <w:top w:w="100" w:type="dxa"/>
              <w:left w:w="130" w:type="dxa"/>
              <w:bottom w:w="100" w:type="dxa"/>
              <w:right w:w="130" w:type="dxa"/>
            </w:tcMar>
            <w:vAlign w:val="center"/>
          </w:tcPr>
          <w:p w14:paraId="453FAF1C">
            <w:pPr>
              <w:pStyle w:val="style0"/>
              <w:spacing w:before="0" w:after="0" w:lineRule="auto" w:line="264"/>
              <w:rPr/>
            </w:pPr>
            <w:r>
              <w:rPr>
                <w:sz w:val="19"/>
              </w:rPr>
              <w:t>Enterprise-grade IoC/DI via CDI (Contexts and Dependency Injection) or Spring Core. Strong compile-time validation, module isolation (OSGi/Java Modules), and enterprise governance.</w:t>
            </w:r>
          </w:p>
        </w:tc>
        <w:tc>
          <w:tcPr>
            <w:tcW w:w="3528" w:type="dxa"/>
            <w:tcBorders/>
            <w:shd w:val="nil" w:color="auto" w:fill="ffffff"/>
            <w:tcMar>
              <w:top w:w="100" w:type="dxa"/>
              <w:left w:w="130" w:type="dxa"/>
              <w:bottom w:w="100" w:type="dxa"/>
              <w:right w:w="130" w:type="dxa"/>
            </w:tcMar>
            <w:vAlign w:val="center"/>
          </w:tcPr>
          <w:p w14:paraId="6EB547DA">
            <w:pPr>
              <w:pStyle w:val="style0"/>
              <w:spacing w:before="0" w:after="0" w:lineRule="auto" w:line="264"/>
              <w:rPr/>
            </w:pPr>
            <w:r>
              <w:rPr>
                <w:sz w:val="19"/>
              </w:rPr>
              <w:t>Robust dynamic Service Containers with auto-wiring, PSR-11 compliance, modular bundles (Symfony), and service providers (Laravel).</w:t>
            </w:r>
          </w:p>
        </w:tc>
      </w:tr>
      <w:tr w14:paraId="0DA93CE0">
        <w:tblPrEx/>
        <w:trPr>
          <w:jc w:val="center"/>
        </w:trPr>
        <w:tc>
          <w:tcPr>
            <w:tcW w:w="2304" w:type="dxa"/>
            <w:tcBorders/>
            <w:shd w:val="nil" w:color="auto" w:fill="f8fafc"/>
            <w:tcMar>
              <w:top w:w="100" w:type="dxa"/>
              <w:left w:w="130" w:type="dxa"/>
              <w:bottom w:w="100" w:type="dxa"/>
              <w:right w:w="130" w:type="dxa"/>
            </w:tcMar>
            <w:vAlign w:val="center"/>
          </w:tcPr>
          <w:p w14:paraId="C2982685">
            <w:pPr>
              <w:pStyle w:val="style0"/>
              <w:spacing w:before="0" w:after="0" w:lineRule="auto" w:line="264"/>
              <w:rPr/>
            </w:pPr>
            <w:r>
              <w:rPr>
                <w:sz w:val="19"/>
              </w:rPr>
              <w:t>Horizontal &amp; Vertical Scalability</w:t>
            </w:r>
          </w:p>
        </w:tc>
        <w:tc>
          <w:tcPr>
            <w:tcW w:w="3528" w:type="dxa"/>
            <w:tcBorders/>
            <w:shd w:val="nil" w:color="auto" w:fill="f8fafc"/>
            <w:tcMar>
              <w:top w:w="100" w:type="dxa"/>
              <w:left w:w="130" w:type="dxa"/>
              <w:bottom w:w="100" w:type="dxa"/>
              <w:right w:w="130" w:type="dxa"/>
            </w:tcMar>
            <w:vAlign w:val="center"/>
          </w:tcPr>
          <w:p w14:paraId="3A9DA5F8">
            <w:pPr>
              <w:pStyle w:val="style0"/>
              <w:spacing w:before="0" w:after="0" w:lineRule="auto" w:line="264"/>
              <w:rPr/>
            </w:pPr>
            <w:r>
              <w:rPr>
                <w:sz w:val="19"/>
              </w:rPr>
              <w:t>Exceptional vertical scaling (massive heap, multi-core JIT execution) and horizontal clustering. Ideal for CPU-intensive transactional calculations (e.g., real-time cart pricing, fraud detection).</w:t>
            </w:r>
          </w:p>
        </w:tc>
        <w:tc>
          <w:tcPr>
            <w:tcW w:w="3528" w:type="dxa"/>
            <w:tcBorders/>
            <w:shd w:val="nil" w:color="auto" w:fill="f8fafc"/>
            <w:tcMar>
              <w:top w:w="100" w:type="dxa"/>
              <w:left w:w="130" w:type="dxa"/>
              <w:bottom w:w="100" w:type="dxa"/>
              <w:right w:w="130" w:type="dxa"/>
            </w:tcMar>
            <w:vAlign w:val="center"/>
          </w:tcPr>
          <w:p w14:paraId="D32653F1">
            <w:pPr>
              <w:pStyle w:val="style0"/>
              <w:spacing w:before="0" w:after="0" w:lineRule="auto" w:line="264"/>
              <w:rPr/>
            </w:pPr>
            <w:r>
              <w:rPr>
                <w:sz w:val="19"/>
              </w:rPr>
              <w:t>Effortless horizontal scaling due to stateless process architecture. Containerization (Docker/Kubernetes) allows rapid spin-up of PHP worker replicas behind load balancers.</w:t>
            </w:r>
          </w:p>
        </w:tc>
      </w:tr>
      <w:tr w14:paraId="A0140891">
        <w:tblPrEx/>
        <w:trPr>
          <w:jc w:val="center"/>
        </w:trPr>
        <w:tc>
          <w:tcPr>
            <w:tcW w:w="2304" w:type="dxa"/>
            <w:tcBorders/>
            <w:shd w:val="nil" w:color="auto" w:fill="ffffff"/>
            <w:tcMar>
              <w:top w:w="100" w:type="dxa"/>
              <w:left w:w="130" w:type="dxa"/>
              <w:bottom w:w="100" w:type="dxa"/>
              <w:right w:w="130" w:type="dxa"/>
            </w:tcMar>
            <w:vAlign w:val="center"/>
          </w:tcPr>
          <w:p w14:paraId="FC064BE7">
            <w:pPr>
              <w:pStyle w:val="style0"/>
              <w:spacing w:before="0" w:after="0" w:lineRule="auto" w:line="264"/>
              <w:rPr/>
            </w:pPr>
            <w:r>
              <w:rPr>
                <w:sz w:val="19"/>
              </w:rPr>
              <w:t>Ecosystem &amp; Enterprise Integration</w:t>
            </w:r>
          </w:p>
        </w:tc>
        <w:tc>
          <w:tcPr>
            <w:tcW w:w="3528" w:type="dxa"/>
            <w:tcBorders/>
            <w:shd w:val="nil" w:color="auto" w:fill="ffffff"/>
            <w:tcMar>
              <w:top w:w="100" w:type="dxa"/>
              <w:left w:w="130" w:type="dxa"/>
              <w:bottom w:w="100" w:type="dxa"/>
              <w:right w:w="130" w:type="dxa"/>
            </w:tcMar>
            <w:vAlign w:val="center"/>
          </w:tcPr>
          <w:p w14:paraId="6F1403AE">
            <w:pPr>
              <w:pStyle w:val="style0"/>
              <w:spacing w:before="0" w:after="0" w:lineRule="auto" w:line="264"/>
              <w:rPr/>
            </w:pPr>
            <w:r>
              <w:rPr>
                <w:sz w:val="19"/>
              </w:rPr>
              <w:t>Unrivaled integration with legacy ERP systems (SAP), enterprise message brokers (Kafka, IBM MQ, JMS), distributed caching (Hazelcast, Redis), and microservice protocols (gRPC).</w:t>
            </w:r>
          </w:p>
        </w:tc>
        <w:tc>
          <w:tcPr>
            <w:tcW w:w="3528" w:type="dxa"/>
            <w:tcBorders/>
            <w:shd w:val="nil" w:color="auto" w:fill="ffffff"/>
            <w:tcMar>
              <w:top w:w="100" w:type="dxa"/>
              <w:left w:w="130" w:type="dxa"/>
              <w:bottom w:w="100" w:type="dxa"/>
              <w:right w:w="130" w:type="dxa"/>
            </w:tcMar>
            <w:vAlign w:val="center"/>
          </w:tcPr>
          <w:p w14:paraId="B4AF6714">
            <w:pPr>
              <w:pStyle w:val="style0"/>
              <w:spacing w:before="0" w:after="0" w:lineRule="auto" w:line="264"/>
              <w:rPr/>
            </w:pPr>
            <w:r>
              <w:rPr>
                <w:sz w:val="19"/>
              </w:rPr>
              <w:t>Extensive modern API integrations, native queue workers (Redis, Amazon SQS, RabbitMQ), robust REST/GraphQL support, and vibrant open-source package ecosystem (Composer).</w:t>
            </w:r>
          </w:p>
        </w:tc>
      </w:tr>
      <w:tr w14:paraId="7EC20D86">
        <w:tblPrEx/>
        <w:trPr>
          <w:jc w:val="center"/>
        </w:trPr>
        <w:tc>
          <w:tcPr>
            <w:tcW w:w="2304" w:type="dxa"/>
            <w:tcBorders/>
            <w:shd w:val="nil" w:color="auto" w:fill="f8fafc"/>
            <w:tcMar>
              <w:top w:w="100" w:type="dxa"/>
              <w:left w:w="130" w:type="dxa"/>
              <w:bottom w:w="100" w:type="dxa"/>
              <w:right w:w="130" w:type="dxa"/>
            </w:tcMar>
            <w:vAlign w:val="center"/>
          </w:tcPr>
          <w:p w14:paraId="7FBD819E">
            <w:pPr>
              <w:pStyle w:val="style0"/>
              <w:spacing w:before="0" w:after="0" w:lineRule="auto" w:line="264"/>
              <w:rPr/>
            </w:pPr>
            <w:r>
              <w:rPr>
                <w:sz w:val="19"/>
              </w:rPr>
              <w:t>Development Velocity &amp; Maintainability</w:t>
            </w:r>
          </w:p>
        </w:tc>
        <w:tc>
          <w:tcPr>
            <w:tcW w:w="3528" w:type="dxa"/>
            <w:tcBorders/>
            <w:shd w:val="nil" w:color="auto" w:fill="f8fafc"/>
            <w:tcMar>
              <w:top w:w="100" w:type="dxa"/>
              <w:left w:w="130" w:type="dxa"/>
              <w:bottom w:w="100" w:type="dxa"/>
              <w:right w:w="130" w:type="dxa"/>
            </w:tcMar>
            <w:vAlign w:val="center"/>
          </w:tcPr>
          <w:p w14:paraId="71B390FC">
            <w:pPr>
              <w:pStyle w:val="style0"/>
              <w:spacing w:before="0" w:after="0" w:lineRule="auto" w:line="264"/>
              <w:rPr/>
            </w:pPr>
            <w:r>
              <w:rPr>
                <w:sz w:val="19"/>
              </w:rPr>
              <w:t>Strict typing and static compilation catch errors early, enhancing long-term maintainability for large distributed engineering teams, but with slower initial prototyping velocity.</w:t>
            </w:r>
          </w:p>
        </w:tc>
        <w:tc>
          <w:tcPr>
            <w:tcW w:w="3528" w:type="dxa"/>
            <w:tcBorders/>
            <w:shd w:val="nil" w:color="auto" w:fill="f8fafc"/>
            <w:tcMar>
              <w:top w:w="100" w:type="dxa"/>
              <w:left w:w="130" w:type="dxa"/>
              <w:bottom w:w="100" w:type="dxa"/>
              <w:right w:w="130" w:type="dxa"/>
            </w:tcMar>
            <w:vAlign w:val="center"/>
          </w:tcPr>
          <w:p w14:paraId="BCCB4634">
            <w:pPr>
              <w:pStyle w:val="style0"/>
              <w:spacing w:before="0" w:after="0" w:lineRule="auto" w:line="264"/>
              <w:rPr/>
            </w:pPr>
            <w:r>
              <w:rPr>
                <w:sz w:val="19"/>
              </w:rPr>
              <w:t>Very high development velocity, built-in scaffolding (Artisan, MakerBundle), expressiveness, and rapid time-to-market. Strict typing available via PHP 8.2+ type declarations.</w:t>
            </w:r>
          </w:p>
        </w:tc>
      </w:tr>
    </w:tbl>
    <w:p w14:paraId="A9AADF3C">
      <w:pPr>
        <w:pStyle w:val="style0"/>
        <w:spacing w:after="160"/>
        <w:rPr/>
      </w:pPr>
    </w:p>
    <w:p w14:paraId="EAA03161">
      <w:pPr>
        <w:pStyle w:val="style0"/>
        <w:keepNext/>
        <w:spacing w:before="240" w:after="80"/>
        <w:rPr/>
      </w:pPr>
      <w:r>
        <w:rPr>
          <w:b/>
          <w:color w:val="4a777a"/>
          <w:sz w:val="25"/>
        </w:rPr>
        <w:t>2.3 E-Commerce Platform Architectural Synthesis</w:t>
      </w:r>
    </w:p>
    <w:p w14:paraId="12EB1968">
      <w:pPr>
        <w:pStyle w:val="style0"/>
        <w:rPr/>
      </w:pPr>
      <w:r>
        <w:t>For an e-commerce platform processing millions of transactions with complex payment reconciliation, distributed multi-warehouse inventory, and enterprise ERP integrations, the Java JSP/Servlet/Spring ecosystem provides superior long-term stability, type safety, thread-level memory efficiency, and deterministic transactional throughput. Conversely, for fast-growing direct-to-consumer (D2C) e-commerce platforms requiring rapid feature iteration, dynamic marketing promotions, and omnichannel CMS integration, Laravel/Symfony with PHP 8+ and asynchronous execution engines (RoadRunner/Swoole) offers unmatched time-to-market, lower initial operational overhead, and robust horizontal scaling.</w:t>
      </w:r>
    </w:p>
    <w:p w14:paraId="ECDF4801">
      <w:pPr>
        <w:pStyle w:val="style0"/>
        <w:keepNext/>
        <w:spacing w:before="320" w:after="120"/>
        <w:rPr/>
      </w:pPr>
      <w:r>
        <w:rPr>
          <w:b/>
          <w:color w:val="1b365d"/>
          <w:sz w:val="30"/>
        </w:rPr>
        <w:t>Question 3: Critical Comparison of XML Schema (XSD) Validation vs. Database-Level Validation in JSP/JDBC and PHP Systems</w:t>
      </w:r>
    </w:p>
    <w:tbl>
      <w:tblPr>
        <w:tblW w:w="0" w:type="auto"/>
        <w:jc w:val="center"/>
        <w:tblLook w:val="04A0" w:firstRow="1" w:lastRow="0" w:firstColumn="1" w:lastColumn="0" w:noHBand="0" w:noVBand="1"/>
      </w:tblPr>
      <w:tblGrid>
        <w:gridCol w:w="9360"/>
      </w:tblGrid>
      <w:tr w14:paraId="A7DBD427">
        <w:trPr>
          <w:jc w:val="center"/>
        </w:trPr>
        <w:tc>
          <w:tcPr>
            <w:tcW w:w="9360" w:type="dxa"/>
            <w:tcBorders>
              <w:top w:val="none" w:sz="4" w:space="0" w:color="auto"/>
              <w:left w:val="single" w:sz="24" w:space="0" w:color="1b365d"/>
              <w:bottom w:val="none" w:sz="4" w:space="0" w:color="auto"/>
              <w:right w:val="none" w:sz="4" w:space="0" w:color="auto"/>
            </w:tcBorders>
            <w:shd w:val="nil" w:color="auto" w:fill="f0f4f8"/>
            <w:tcMar>
              <w:top w:w="100" w:type="dxa"/>
              <w:left w:w="150" w:type="dxa"/>
              <w:bottom w:w="100" w:type="dxa"/>
              <w:right w:w="150" w:type="dxa"/>
            </w:tcMar>
          </w:tcPr>
          <w:p w14:paraId="34BCDD37">
            <w:pPr>
              <w:pStyle w:val="style0"/>
              <w:spacing w:before="0" w:after="0" w:lineRule="auto" w:line="276"/>
              <w:rPr/>
            </w:pPr>
            <w:r>
              <w:rPr>
                <w:b/>
                <w:color w:val="1b365d"/>
                <w:sz w:val="20"/>
              </w:rPr>
              <w:t xml:space="preserve">Validation Context: </w:t>
            </w:r>
            <w:r>
              <w:rPr>
                <w:sz w:val="20"/>
              </w:rPr>
              <w:t>Context: High-integrity web applications require structured data validation prior to persistent storage. This section evaluates structural/syntactic validation using XML Schema Definition (XSD) against semantic/relational validation executed at the database layer (via SQL constraints, stored procedures, and triggers) across data integrity, complexity, performance, and real-time responsiveness.</w:t>
            </w:r>
          </w:p>
        </w:tc>
      </w:tr>
    </w:tbl>
    <w:p w14:paraId="2E937507">
      <w:pPr>
        <w:pStyle w:val="style0"/>
        <w:spacing w:after="80"/>
        <w:rPr/>
      </w:pPr>
    </w:p>
    <w:p w14:paraId="6611F6B9">
      <w:pPr>
        <w:pStyle w:val="style0"/>
        <w:keepNext/>
        <w:spacing w:before="240" w:after="80"/>
        <w:rPr/>
      </w:pPr>
      <w:r>
        <w:rPr>
          <w:b/>
          <w:color w:val="4a777a"/>
          <w:sz w:val="25"/>
        </w:rPr>
        <w:t>3.1 Mechanics of the Two Validation Paradigms</w:t>
      </w:r>
    </w:p>
    <w:p w14:paraId="BFF8E15F">
      <w:pPr>
        <w:pStyle w:val="style48"/>
        <w:spacing w:after="60"/>
        <w:rPr/>
      </w:pPr>
      <w:r>
        <w:rPr>
          <w:b/>
        </w:rPr>
        <w:t xml:space="preserve">XML Schema Definition (XSD) Validation (Border / Ingestion Layer): </w:t>
      </w:r>
      <w:r>
        <w:t>Operates at the application boundary or messaging tier before business processing occurs. The XML parser (e.g., Xerces in Java or libxml2 in PHP) parses the XML stream against a formal .xsd contract. It validates document structure (element ordering, cardinality, hierarchy), lexical data types (xs:dateTime, xs:decimal, xs:string), and regular expression patterns (xs:pattern). This is declarative, structural, and transport-agnostic.</w:t>
      </w:r>
    </w:p>
    <w:p w14:paraId="95BEF3C5">
      <w:pPr>
        <w:pStyle w:val="style48"/>
        <w:spacing w:after="60"/>
        <w:rPr/>
      </w:pPr>
      <w:r>
        <w:rPr>
          <w:b/>
        </w:rPr>
        <w:t xml:space="preserve">Database-Level Validation (Persistence Layer): </w:t>
      </w:r>
      <w:r>
        <w:t>Operates at the core data tier enforced by the Relational Database Management System (RDBMS). It enforces relational integrity (Foreign Keys, Primary Keys, Unique Constraints), domain check constraints (CHECK price &gt; 0), nullability (NOT NULL), and complex transactional business rules via SQL Triggers and Stored Procedures executed inside ACID transaction boundaries.</w:t>
      </w:r>
    </w:p>
    <w:p w14:paraId="F9B8CFCA">
      <w:pPr>
        <w:pStyle w:val="style0"/>
        <w:keepNext/>
        <w:spacing w:before="240" w:after="80"/>
        <w:rPr/>
      </w:pPr>
      <w:r>
        <w:rPr>
          <w:b/>
          <w:color w:val="4a777a"/>
          <w:sz w:val="25"/>
        </w:rPr>
        <w:t>3.2 Comparative Evaluation Matrix</w:t>
      </w:r>
    </w:p>
    <w:tbl>
      <w:tblPr>
        <w:tblW w:w="0" w:type="auto"/>
        <w:jc w:val="center"/>
        <w:tblLook w:val="04A0" w:firstRow="1" w:lastRow="0" w:firstColumn="1" w:lastColumn="0" w:noHBand="0" w:noVBand="1"/>
      </w:tblPr>
      <w:tblGrid>
        <w:gridCol w:w="2160"/>
        <w:gridCol w:w="3600"/>
        <w:gridCol w:w="3600"/>
      </w:tblGrid>
      <w:tr w14:paraId="0388E9DF">
        <w:trPr>
          <w:jc w:val="center"/>
        </w:trPr>
        <w:tc>
          <w:tcPr>
            <w:tcW w:w="2160" w:type="dxa"/>
            <w:tcBorders/>
            <w:shd w:val="nil" w:color="auto" w:fill="1b365d"/>
            <w:tcMar>
              <w:top w:w="140" w:type="dxa"/>
              <w:left w:w="140" w:type="dxa"/>
              <w:bottom w:w="140" w:type="dxa"/>
              <w:right w:w="140" w:type="dxa"/>
            </w:tcMar>
            <w:vAlign w:val="center"/>
          </w:tcPr>
          <w:p w14:paraId="7BA0E627">
            <w:pPr>
              <w:pStyle w:val="style0"/>
              <w:spacing w:before="0" w:after="0"/>
              <w:rPr/>
            </w:pPr>
            <w:r>
              <w:rPr>
                <w:b/>
                <w:color w:val="ffffff"/>
                <w:sz w:val="20"/>
              </w:rPr>
              <w:t>Evaluation Criteria</w:t>
            </w:r>
          </w:p>
        </w:tc>
        <w:tc>
          <w:tcPr>
            <w:tcW w:w="3600" w:type="dxa"/>
            <w:tcBorders/>
            <w:shd w:val="nil" w:color="auto" w:fill="1b365d"/>
            <w:tcMar>
              <w:top w:w="140" w:type="dxa"/>
              <w:left w:w="140" w:type="dxa"/>
              <w:bottom w:w="140" w:type="dxa"/>
              <w:right w:w="140" w:type="dxa"/>
            </w:tcMar>
            <w:vAlign w:val="center"/>
          </w:tcPr>
          <w:p w14:paraId="ED514212">
            <w:pPr>
              <w:pStyle w:val="style0"/>
              <w:spacing w:before="0" w:after="0"/>
              <w:rPr/>
            </w:pPr>
            <w:r>
              <w:rPr>
                <w:b/>
                <w:color w:val="ffffff"/>
                <w:sz w:val="20"/>
              </w:rPr>
              <w:t>XML Schema (XSD) Validation</w:t>
            </w:r>
          </w:p>
        </w:tc>
        <w:tc>
          <w:tcPr>
            <w:tcW w:w="3600" w:type="dxa"/>
            <w:tcBorders/>
            <w:shd w:val="nil" w:color="auto" w:fill="1b365d"/>
            <w:tcMar>
              <w:top w:w="140" w:type="dxa"/>
              <w:left w:w="140" w:type="dxa"/>
              <w:bottom w:w="140" w:type="dxa"/>
              <w:right w:w="140" w:type="dxa"/>
            </w:tcMar>
            <w:vAlign w:val="center"/>
          </w:tcPr>
          <w:p w14:paraId="4553D169">
            <w:pPr>
              <w:pStyle w:val="style0"/>
              <w:spacing w:before="0" w:after="0"/>
              <w:rPr/>
            </w:pPr>
            <w:r>
              <w:rPr>
                <w:b/>
                <w:color w:val="ffffff"/>
                <w:sz w:val="20"/>
              </w:rPr>
              <w:t>Database-Level Validation (JSP/JDBC / PHP)</w:t>
            </w:r>
          </w:p>
        </w:tc>
      </w:tr>
      <w:tr w14:paraId="83896CDD">
        <w:tblPrEx/>
        <w:trPr>
          <w:jc w:val="center"/>
        </w:trPr>
        <w:tc>
          <w:tcPr>
            <w:tcW w:w="2160" w:type="dxa"/>
            <w:tcBorders/>
            <w:shd w:val="nil" w:color="auto" w:fill="ffffff"/>
            <w:tcMar>
              <w:top w:w="100" w:type="dxa"/>
              <w:left w:w="130" w:type="dxa"/>
              <w:bottom w:w="100" w:type="dxa"/>
              <w:right w:w="130" w:type="dxa"/>
            </w:tcMar>
            <w:vAlign w:val="center"/>
          </w:tcPr>
          <w:p w14:paraId="8C609363">
            <w:pPr>
              <w:pStyle w:val="style0"/>
              <w:spacing w:before="0" w:after="0" w:lineRule="auto" w:line="264"/>
              <w:rPr/>
            </w:pPr>
            <w:r>
              <w:rPr>
                <w:sz w:val="19"/>
              </w:rPr>
              <w:t>Integrity Scope &amp; Focus</w:t>
            </w:r>
          </w:p>
        </w:tc>
        <w:tc>
          <w:tcPr>
            <w:tcW w:w="3600" w:type="dxa"/>
            <w:tcBorders/>
            <w:shd w:val="nil" w:color="auto" w:fill="ffffff"/>
            <w:tcMar>
              <w:top w:w="100" w:type="dxa"/>
              <w:left w:w="130" w:type="dxa"/>
              <w:bottom w:w="100" w:type="dxa"/>
              <w:right w:w="130" w:type="dxa"/>
            </w:tcMar>
            <w:vAlign w:val="center"/>
          </w:tcPr>
          <w:p w14:paraId="1C3433F4">
            <w:pPr>
              <w:pStyle w:val="style0"/>
              <w:spacing w:before="0" w:after="0" w:lineRule="auto" w:line="264"/>
              <w:rPr/>
            </w:pPr>
            <w:r>
              <w:rPr>
                <w:sz w:val="19"/>
              </w:rPr>
              <w:t>Syntactic, Structural, and Lexical Integrity. Verifies message schema correctness, tag hierarchies, data format rules, and data presence before application ingestion.</w:t>
            </w:r>
          </w:p>
        </w:tc>
        <w:tc>
          <w:tcPr>
            <w:tcW w:w="3600" w:type="dxa"/>
            <w:tcBorders/>
            <w:shd w:val="nil" w:color="auto" w:fill="ffffff"/>
            <w:tcMar>
              <w:top w:w="100" w:type="dxa"/>
              <w:left w:w="130" w:type="dxa"/>
              <w:bottom w:w="100" w:type="dxa"/>
              <w:right w:w="130" w:type="dxa"/>
            </w:tcMar>
            <w:vAlign w:val="center"/>
          </w:tcPr>
          <w:p w14:paraId="94B10AF5">
            <w:pPr>
              <w:pStyle w:val="style0"/>
              <w:spacing w:before="0" w:after="0" w:lineRule="auto" w:line="264"/>
              <w:rPr/>
            </w:pPr>
            <w:r>
              <w:rPr>
                <w:sz w:val="19"/>
              </w:rPr>
              <w:t>Relational, Semantic, and Referential Integrity. Verifies state consistency, foreign-key relationships, unique records, and multi-table business constraints across concurrent transactions.</w:t>
            </w:r>
          </w:p>
        </w:tc>
      </w:tr>
      <w:tr w14:paraId="658C174D">
        <w:tblPrEx/>
        <w:trPr>
          <w:jc w:val="center"/>
        </w:trPr>
        <w:tc>
          <w:tcPr>
            <w:tcW w:w="2160" w:type="dxa"/>
            <w:tcBorders/>
            <w:shd w:val="nil" w:color="auto" w:fill="f8fafc"/>
            <w:tcMar>
              <w:top w:w="100" w:type="dxa"/>
              <w:left w:w="130" w:type="dxa"/>
              <w:bottom w:w="100" w:type="dxa"/>
              <w:right w:w="130" w:type="dxa"/>
            </w:tcMar>
            <w:vAlign w:val="center"/>
          </w:tcPr>
          <w:p w14:paraId="69F63AF1">
            <w:pPr>
              <w:pStyle w:val="style0"/>
              <w:spacing w:before="0" w:after="0" w:lineRule="auto" w:line="264"/>
              <w:rPr/>
            </w:pPr>
            <w:r>
              <w:rPr>
                <w:sz w:val="19"/>
              </w:rPr>
              <w:t>Execution Location &amp; Boundary</w:t>
            </w:r>
          </w:p>
        </w:tc>
        <w:tc>
          <w:tcPr>
            <w:tcW w:w="3600" w:type="dxa"/>
            <w:tcBorders/>
            <w:shd w:val="nil" w:color="auto" w:fill="f8fafc"/>
            <w:tcMar>
              <w:top w:w="100" w:type="dxa"/>
              <w:left w:w="130" w:type="dxa"/>
              <w:bottom w:w="100" w:type="dxa"/>
              <w:right w:w="130" w:type="dxa"/>
            </w:tcMar>
            <w:vAlign w:val="center"/>
          </w:tcPr>
          <w:p w14:paraId="BE35D826">
            <w:pPr>
              <w:pStyle w:val="style0"/>
              <w:spacing w:before="0" w:after="0" w:lineRule="auto" w:line="264"/>
              <w:rPr/>
            </w:pPr>
            <w:r>
              <w:rPr>
                <w:sz w:val="19"/>
              </w:rPr>
              <w:t>Early validation at the Web / API Gateway / Controller tier. Invalid payloads are rejected before consuming database or backend resources.</w:t>
            </w:r>
          </w:p>
        </w:tc>
        <w:tc>
          <w:tcPr>
            <w:tcW w:w="3600" w:type="dxa"/>
            <w:tcBorders/>
            <w:shd w:val="nil" w:color="auto" w:fill="f8fafc"/>
            <w:tcMar>
              <w:top w:w="100" w:type="dxa"/>
              <w:left w:w="130" w:type="dxa"/>
              <w:bottom w:w="100" w:type="dxa"/>
              <w:right w:w="130" w:type="dxa"/>
            </w:tcMar>
            <w:vAlign w:val="center"/>
          </w:tcPr>
          <w:p w14:paraId="65B29F17">
            <w:pPr>
              <w:pStyle w:val="style0"/>
              <w:spacing w:before="0" w:after="0" w:lineRule="auto" w:line="264"/>
              <w:rPr/>
            </w:pPr>
            <w:r>
              <w:rPr>
                <w:sz w:val="19"/>
              </w:rPr>
              <w:t>Late validation at the Persistence tier. Enforced directly at the SQL execution stage during INSERT/UPDATE operations within JDBC/PDO transactions.</w:t>
            </w:r>
          </w:p>
        </w:tc>
      </w:tr>
      <w:tr w14:paraId="F309E297">
        <w:tblPrEx/>
        <w:trPr>
          <w:jc w:val="center"/>
        </w:trPr>
        <w:tc>
          <w:tcPr>
            <w:tcW w:w="2160" w:type="dxa"/>
            <w:tcBorders/>
            <w:shd w:val="nil" w:color="auto" w:fill="ffffff"/>
            <w:tcMar>
              <w:top w:w="100" w:type="dxa"/>
              <w:left w:w="130" w:type="dxa"/>
              <w:bottom w:w="100" w:type="dxa"/>
              <w:right w:w="130" w:type="dxa"/>
            </w:tcMar>
            <w:vAlign w:val="center"/>
          </w:tcPr>
          <w:p w14:paraId="6F8DEA8B">
            <w:pPr>
              <w:pStyle w:val="style0"/>
              <w:spacing w:before="0" w:after="0" w:lineRule="auto" w:line="264"/>
              <w:rPr/>
            </w:pPr>
            <w:r>
              <w:rPr>
                <w:sz w:val="19"/>
              </w:rPr>
              <w:t>Handling Complexity</w:t>
            </w:r>
          </w:p>
        </w:tc>
        <w:tc>
          <w:tcPr>
            <w:tcW w:w="3600" w:type="dxa"/>
            <w:tcBorders/>
            <w:shd w:val="nil" w:color="auto" w:fill="ffffff"/>
            <w:tcMar>
              <w:top w:w="100" w:type="dxa"/>
              <w:left w:w="130" w:type="dxa"/>
              <w:bottom w:w="100" w:type="dxa"/>
              <w:right w:w="130" w:type="dxa"/>
            </w:tcMar>
            <w:vAlign w:val="center"/>
          </w:tcPr>
          <w:p w14:paraId="B2C5B911">
            <w:pPr>
              <w:pStyle w:val="style0"/>
              <w:spacing w:before="0" w:after="0" w:lineRule="auto" w:line="264"/>
              <w:rPr/>
            </w:pPr>
            <w:r>
              <w:rPr>
                <w:sz w:val="19"/>
              </w:rPr>
              <w:t>Exceptional at complex nested data hierarchies, unbounded repeatable structures, and cross-field pattern validation within a single message. Incapable of verifying historical state or cross-record persistence data.</w:t>
            </w:r>
          </w:p>
        </w:tc>
        <w:tc>
          <w:tcPr>
            <w:tcW w:w="3600" w:type="dxa"/>
            <w:tcBorders/>
            <w:shd w:val="nil" w:color="auto" w:fill="ffffff"/>
            <w:tcMar>
              <w:top w:w="100" w:type="dxa"/>
              <w:left w:w="130" w:type="dxa"/>
              <w:bottom w:w="100" w:type="dxa"/>
              <w:right w:w="130" w:type="dxa"/>
            </w:tcMar>
            <w:vAlign w:val="center"/>
          </w:tcPr>
          <w:p w14:paraId="BC241042">
            <w:pPr>
              <w:pStyle w:val="style0"/>
              <w:spacing w:before="0" w:after="0" w:lineRule="auto" w:line="264"/>
              <w:rPr/>
            </w:pPr>
            <w:r>
              <w:rPr>
                <w:sz w:val="19"/>
              </w:rPr>
              <w:t>Superior at cross-record, cross-table relational rules (e.g., verifying user balance &gt;= purchase total). Complex hierarchical validation in SQL is verbose and rigid.</w:t>
            </w:r>
          </w:p>
        </w:tc>
      </w:tr>
      <w:tr w14:paraId="9F798272">
        <w:tblPrEx/>
        <w:trPr>
          <w:jc w:val="center"/>
        </w:trPr>
        <w:tc>
          <w:tcPr>
            <w:tcW w:w="2160" w:type="dxa"/>
            <w:tcBorders/>
            <w:shd w:val="nil" w:color="auto" w:fill="f8fafc"/>
            <w:tcMar>
              <w:top w:w="100" w:type="dxa"/>
              <w:left w:w="130" w:type="dxa"/>
              <w:bottom w:w="100" w:type="dxa"/>
              <w:right w:w="130" w:type="dxa"/>
            </w:tcMar>
            <w:vAlign w:val="center"/>
          </w:tcPr>
          <w:p w14:paraId="F1DE1E5C">
            <w:pPr>
              <w:pStyle w:val="style0"/>
              <w:spacing w:before="0" w:after="0" w:lineRule="auto" w:line="264"/>
              <w:rPr/>
            </w:pPr>
            <w:r>
              <w:rPr>
                <w:sz w:val="19"/>
              </w:rPr>
              <w:t>Performance &amp; System Overhead</w:t>
            </w:r>
          </w:p>
        </w:tc>
        <w:tc>
          <w:tcPr>
            <w:tcW w:w="3600" w:type="dxa"/>
            <w:tcBorders/>
            <w:shd w:val="nil" w:color="auto" w:fill="f8fafc"/>
            <w:tcMar>
              <w:top w:w="100" w:type="dxa"/>
              <w:left w:w="130" w:type="dxa"/>
              <w:bottom w:w="100" w:type="dxa"/>
              <w:right w:w="130" w:type="dxa"/>
            </w:tcMar>
            <w:vAlign w:val="center"/>
          </w:tcPr>
          <w:p w14:paraId="BDF0ED17">
            <w:pPr>
              <w:pStyle w:val="style0"/>
              <w:spacing w:before="0" w:after="0" w:lineRule="auto" w:line="264"/>
              <w:rPr/>
            </w:pPr>
            <w:r>
              <w:rPr>
                <w:sz w:val="19"/>
              </w:rPr>
              <w:t>CPU-intensive during schema parsing and tree traversal. Schema objects can be compiled and cached (e.g., javax.xml.validation.SchemaFactory). Reduces database load by short-circuiting malformed requests.</w:t>
            </w:r>
          </w:p>
        </w:tc>
        <w:tc>
          <w:tcPr>
            <w:tcW w:w="3600" w:type="dxa"/>
            <w:tcBorders/>
            <w:shd w:val="nil" w:color="auto" w:fill="f8fafc"/>
            <w:tcMar>
              <w:top w:w="100" w:type="dxa"/>
              <w:left w:w="130" w:type="dxa"/>
              <w:bottom w:w="100" w:type="dxa"/>
              <w:right w:w="130" w:type="dxa"/>
            </w:tcMar>
            <w:vAlign w:val="center"/>
          </w:tcPr>
          <w:p w14:paraId="7C2C19B2">
            <w:pPr>
              <w:pStyle w:val="style0"/>
              <w:spacing w:before="0" w:after="0" w:lineRule="auto" w:line="264"/>
              <w:rPr/>
            </w:pPr>
            <w:r>
              <w:rPr>
                <w:sz w:val="19"/>
              </w:rPr>
              <w:t>Highly optimized in-engine C/C++ execution within RDBMS. However, database CPU and lock contention increase if complex trigger/procedure validation is over-relied upon.</w:t>
            </w:r>
          </w:p>
        </w:tc>
      </w:tr>
      <w:tr w14:paraId="AFA9DDC0">
        <w:tblPrEx/>
        <w:trPr>
          <w:jc w:val="center"/>
        </w:trPr>
        <w:tc>
          <w:tcPr>
            <w:tcW w:w="2160" w:type="dxa"/>
            <w:tcBorders/>
            <w:shd w:val="nil" w:color="auto" w:fill="ffffff"/>
            <w:tcMar>
              <w:top w:w="100" w:type="dxa"/>
              <w:left w:w="130" w:type="dxa"/>
              <w:bottom w:w="100" w:type="dxa"/>
              <w:right w:w="130" w:type="dxa"/>
            </w:tcMar>
            <w:vAlign w:val="center"/>
          </w:tcPr>
          <w:p w14:paraId="A0A75193">
            <w:pPr>
              <w:pStyle w:val="style0"/>
              <w:spacing w:before="0" w:after="0" w:lineRule="auto" w:line="264"/>
              <w:rPr/>
            </w:pPr>
            <w:r>
              <w:rPr>
                <w:sz w:val="19"/>
              </w:rPr>
              <w:t>Real-Time Responsiveness</w:t>
            </w:r>
          </w:p>
        </w:tc>
        <w:tc>
          <w:tcPr>
            <w:tcW w:w="3600" w:type="dxa"/>
            <w:tcBorders/>
            <w:shd w:val="nil" w:color="auto" w:fill="ffffff"/>
            <w:tcMar>
              <w:top w:w="100" w:type="dxa"/>
              <w:left w:w="130" w:type="dxa"/>
              <w:bottom w:w="100" w:type="dxa"/>
              <w:right w:w="130" w:type="dxa"/>
            </w:tcMar>
            <w:vAlign w:val="center"/>
          </w:tcPr>
          <w:p w14:paraId="31B3AFDE">
            <w:pPr>
              <w:pStyle w:val="style0"/>
              <w:spacing w:before="0" w:after="0" w:lineRule="auto" w:line="264"/>
              <w:rPr/>
            </w:pPr>
            <w:r>
              <w:rPr>
                <w:sz w:val="19"/>
              </w:rPr>
              <w:t>Immediate fail-fast response at the web application tier (microseconds to low milliseconds). Returns comprehensive schema error reports (line/column/rule violation) to client.</w:t>
            </w:r>
          </w:p>
        </w:tc>
        <w:tc>
          <w:tcPr>
            <w:tcW w:w="3600" w:type="dxa"/>
            <w:tcBorders/>
            <w:shd w:val="nil" w:color="auto" w:fill="ffffff"/>
            <w:tcMar>
              <w:top w:w="100" w:type="dxa"/>
              <w:left w:w="130" w:type="dxa"/>
              <w:bottom w:w="100" w:type="dxa"/>
              <w:right w:w="130" w:type="dxa"/>
            </w:tcMar>
            <w:vAlign w:val="center"/>
          </w:tcPr>
          <w:p w14:paraId="44AC93A4">
            <w:pPr>
              <w:pStyle w:val="style0"/>
              <w:spacing w:before="0" w:after="0" w:lineRule="auto" w:line="264"/>
              <w:rPr/>
            </w:pPr>
            <w:r>
              <w:rPr>
                <w:sz w:val="19"/>
              </w:rPr>
              <w:t>Requires network roundtrip to RDBMS. Failures manifest as SQL exceptions (SQLException/PDOException) requiring application-level parsing to generate human-readable error messages.</w:t>
            </w:r>
          </w:p>
        </w:tc>
      </w:tr>
    </w:tbl>
    <w:p w14:paraId="B113E521">
      <w:pPr>
        <w:pStyle w:val="style0"/>
        <w:spacing w:after="160"/>
        <w:rPr/>
      </w:pPr>
    </w:p>
    <w:p w14:paraId="6C45CA6F">
      <w:pPr>
        <w:pStyle w:val="style0"/>
        <w:keepNext/>
        <w:spacing w:before="240" w:after="80"/>
        <w:rPr/>
      </w:pPr>
      <w:r>
        <w:rPr>
          <w:b/>
          <w:color w:val="4a777a"/>
          <w:sz w:val="25"/>
        </w:rPr>
        <w:t>3.3 Defense-in-Depth Validation Strategy</w:t>
      </w:r>
    </w:p>
    <w:p w14:paraId="B7BEBF5A">
      <w:pPr>
        <w:pStyle w:val="style0"/>
        <w:rPr/>
      </w:pPr>
      <w:r>
        <w:t xml:space="preserve">In high-throughput enterprise architectures, relying exclusively on either approach introduces systemic vulnerabilities. The industry gold standard is a </w:t>
      </w:r>
      <w:r>
        <w:rPr>
          <w:b/>
        </w:rPr>
        <w:t>Defense-in-Depth Validation Pipeline:</w:t>
      </w:r>
    </w:p>
    <w:p w14:paraId="DAB8217E">
      <w:pPr>
        <w:pStyle w:val="style0"/>
        <w:rPr/>
      </w:pPr>
      <w:r>
        <w:t>1. Ingestion Boundary (XSD Validation): Intercepts all incoming XML payloads at the API/Controller layer (JSP/Servlet or PHP router). Eliminates malformed documents, structural anomalies, and lexical injection vectors before any business logic executes.</w:t>
      </w:r>
      <w:r>
        <w:br/>
      </w:r>
      <w:r>
        <w:t>2. Business Logic Layer (Application Validation): Validates contextual business state (e.g., checking session validity, inventory availability in Redis).</w:t>
      </w:r>
      <w:r>
        <w:br/>
      </w:r>
      <w:r>
        <w:t>3. Persistence Layer (Database Validation): Enforces relational ACID constraints (Foreign Keys, Unique, Not Null, ACID locks) as the final, immutable guarantee of data integrity.</w:t>
      </w:r>
    </w:p>
    <w:p w14:paraId="AAC4D1C5">
      <w:pPr>
        <w:pStyle w:val="style0"/>
        <w:keepNext/>
        <w:spacing w:before="320" w:after="120"/>
        <w:rPr/>
      </w:pPr>
      <w:r>
        <w:rPr>
          <w:b/>
          <w:color w:val="1b365d"/>
          <w:sz w:val="30"/>
        </w:rPr>
        <w:t>Question 4: Comprehensive Comparative Analysis of XML Processing: DOM Parsing vs. SAX Parsing vs. XSLT Transformation</w:t>
      </w:r>
    </w:p>
    <w:tbl>
      <w:tblPr>
        <w:tblW w:w="0" w:type="auto"/>
        <w:jc w:val="center"/>
        <w:tblLook w:val="04A0" w:firstRow="1" w:lastRow="0" w:firstColumn="1" w:lastColumn="0" w:noHBand="0" w:noVBand="1"/>
      </w:tblPr>
      <w:tblGrid>
        <w:gridCol w:w="9360"/>
      </w:tblGrid>
      <w:tr w14:paraId="02FAB1CB">
        <w:trPr>
          <w:jc w:val="center"/>
        </w:trPr>
        <w:tc>
          <w:tcPr>
            <w:tcW w:w="9360" w:type="dxa"/>
            <w:tcBorders>
              <w:top w:val="none" w:sz="4" w:space="0" w:color="auto"/>
              <w:left w:val="single" w:sz="24" w:space="0" w:color="1b365d"/>
              <w:bottom w:val="none" w:sz="4" w:space="0" w:color="auto"/>
              <w:right w:val="none" w:sz="4" w:space="0" w:color="auto"/>
            </w:tcBorders>
            <w:shd w:val="nil" w:color="auto" w:fill="f0f4f8"/>
            <w:tcMar>
              <w:top w:w="100" w:type="dxa"/>
              <w:left w:w="150" w:type="dxa"/>
              <w:bottom w:w="100" w:type="dxa"/>
              <w:right w:w="150" w:type="dxa"/>
            </w:tcMar>
          </w:tcPr>
          <w:p w14:paraId="9BBF4944">
            <w:pPr>
              <w:pStyle w:val="style0"/>
              <w:spacing w:before="0" w:after="0" w:lineRule="auto" w:line="276"/>
              <w:rPr/>
            </w:pPr>
            <w:r>
              <w:rPr>
                <w:b/>
                <w:color w:val="1b365d"/>
                <w:sz w:val="20"/>
              </w:rPr>
              <w:t xml:space="preserve">Parsing Mechanics &amp; Trade-offs: </w:t>
            </w:r>
            <w:r>
              <w:rPr>
                <w:sz w:val="20"/>
              </w:rPr>
              <w:t>Context: A data-intensive web application processes large-scale XML documents ranging from small configuration payloads to multi-gigabyte transactional data feeds. This section provides an in-depth comparative evaluation of Document Object Model (DOM), Simple API for XML (SAX), and XSLT transformation engines across memory consumption, processing latency, throughput, scalability, and implementation complexity.</w:t>
            </w:r>
          </w:p>
        </w:tc>
      </w:tr>
    </w:tbl>
    <w:p w14:paraId="59A1A471">
      <w:pPr>
        <w:pStyle w:val="style0"/>
        <w:spacing w:after="80"/>
        <w:rPr/>
      </w:pPr>
    </w:p>
    <w:p w14:paraId="1C16E2CE">
      <w:pPr>
        <w:pStyle w:val="style0"/>
        <w:keepNext/>
        <w:spacing w:before="240" w:after="80"/>
        <w:rPr/>
      </w:pPr>
      <w:r>
        <w:rPr>
          <w:b/>
          <w:color w:val="4a777a"/>
          <w:sz w:val="25"/>
        </w:rPr>
        <w:t>4.1 Architectural Processing Models</w:t>
      </w:r>
    </w:p>
    <w:p w14:paraId="D5CAB935">
      <w:pPr>
        <w:pStyle w:val="style48"/>
        <w:spacing w:after="60"/>
        <w:rPr/>
      </w:pPr>
      <w:r>
        <w:rPr>
          <w:b/>
        </w:rPr>
        <w:t xml:space="preserve">DOM (Document Object Model) Parsing: </w:t>
      </w:r>
      <w:r>
        <w:t>A tree-based, programmatic API. The parser reads the entire XML document and constructs an in-memory object graph where every element, attribute, and text node is an accessible Node object. Allows random read/write access, bi-directional navigation (parent, child, sibling), and programmatic modification.</w:t>
      </w:r>
    </w:p>
    <w:p w14:paraId="4E99F9C0">
      <w:pPr>
        <w:pStyle w:val="style48"/>
        <w:spacing w:after="60"/>
        <w:rPr/>
      </w:pPr>
      <w:r>
        <w:rPr>
          <w:b/>
        </w:rPr>
        <w:t xml:space="preserve">SAX (Simple API for XML) Parsing: </w:t>
      </w:r>
      <w:r>
        <w:t>A push-based, stream-oriented, event-driven parser. SAX scans the XML document sequentially from start to finish. As it encounters lexical markers (startElement, characters, endElement), it fires callback events to an application-registered ContentHandler. It maintains no in-memory document tree.</w:t>
      </w:r>
    </w:p>
    <w:p w14:paraId="353064F0">
      <w:pPr>
        <w:pStyle w:val="style48"/>
        <w:spacing w:after="60"/>
        <w:rPr/>
      </w:pPr>
      <w:r>
        <w:rPr>
          <w:b/>
        </w:rPr>
        <w:t xml:space="preserve">XSLT (Extensible Stylesheet Language Transformations): </w:t>
      </w:r>
      <w:r>
        <w:t>A declarative, rule-based transformation engine. XSLT operates on an abstract tree data model of the XML document, utilizing XPath expressions to evaluate node patterns and execute template rules, producing a newly transformed document structure.</w:t>
      </w:r>
    </w:p>
    <w:p w14:paraId="67D7CB79">
      <w:pPr>
        <w:pStyle w:val="style0"/>
        <w:keepNext/>
        <w:spacing w:before="240" w:after="80"/>
        <w:rPr/>
      </w:pPr>
      <w:r>
        <w:rPr>
          <w:b/>
          <w:color w:val="4a777a"/>
          <w:sz w:val="25"/>
        </w:rPr>
        <w:t>4.2 Deep Technical Comparison Matrix</w:t>
      </w:r>
    </w:p>
    <w:tbl>
      <w:tblPr>
        <w:tblW w:w="0" w:type="auto"/>
        <w:jc w:val="center"/>
        <w:tblLook w:val="04A0" w:firstRow="1" w:lastRow="0" w:firstColumn="1" w:lastColumn="0" w:noHBand="0" w:noVBand="1"/>
      </w:tblPr>
      <w:tblGrid>
        <w:gridCol w:w="1872"/>
        <w:gridCol w:w="2448"/>
        <w:gridCol w:w="2448"/>
        <w:gridCol w:w="2592"/>
      </w:tblGrid>
      <w:tr w14:paraId="B73446B7">
        <w:trPr>
          <w:jc w:val="center"/>
        </w:trPr>
        <w:tc>
          <w:tcPr>
            <w:tcW w:w="1872" w:type="dxa"/>
            <w:tcBorders/>
            <w:shd w:val="nil" w:color="auto" w:fill="1b365d"/>
            <w:tcMar>
              <w:top w:w="140" w:type="dxa"/>
              <w:left w:w="140" w:type="dxa"/>
              <w:bottom w:w="140" w:type="dxa"/>
              <w:right w:w="140" w:type="dxa"/>
            </w:tcMar>
            <w:vAlign w:val="center"/>
          </w:tcPr>
          <w:p w14:paraId="5506017D">
            <w:pPr>
              <w:pStyle w:val="style0"/>
              <w:spacing w:before="0" w:after="0"/>
              <w:rPr/>
            </w:pPr>
            <w:r>
              <w:rPr>
                <w:b/>
                <w:color w:val="ffffff"/>
                <w:sz w:val="20"/>
              </w:rPr>
              <w:t>Evaluation Metric</w:t>
            </w:r>
          </w:p>
        </w:tc>
        <w:tc>
          <w:tcPr>
            <w:tcW w:w="2448" w:type="dxa"/>
            <w:tcBorders/>
            <w:shd w:val="nil" w:color="auto" w:fill="1b365d"/>
            <w:tcMar>
              <w:top w:w="140" w:type="dxa"/>
              <w:left w:w="140" w:type="dxa"/>
              <w:bottom w:w="140" w:type="dxa"/>
              <w:right w:w="140" w:type="dxa"/>
            </w:tcMar>
            <w:vAlign w:val="center"/>
          </w:tcPr>
          <w:p w14:paraId="3A89E969">
            <w:pPr>
              <w:pStyle w:val="style0"/>
              <w:spacing w:before="0" w:after="0"/>
              <w:rPr/>
            </w:pPr>
            <w:r>
              <w:rPr>
                <w:b/>
                <w:color w:val="ffffff"/>
                <w:sz w:val="20"/>
              </w:rPr>
              <w:t>DOM Parser</w:t>
            </w:r>
          </w:p>
        </w:tc>
        <w:tc>
          <w:tcPr>
            <w:tcW w:w="2448" w:type="dxa"/>
            <w:tcBorders/>
            <w:shd w:val="nil" w:color="auto" w:fill="1b365d"/>
            <w:tcMar>
              <w:top w:w="140" w:type="dxa"/>
              <w:left w:w="140" w:type="dxa"/>
              <w:bottom w:w="140" w:type="dxa"/>
              <w:right w:w="140" w:type="dxa"/>
            </w:tcMar>
            <w:vAlign w:val="center"/>
          </w:tcPr>
          <w:p w14:paraId="EBEF3CC6">
            <w:pPr>
              <w:pStyle w:val="style0"/>
              <w:spacing w:before="0" w:after="0"/>
              <w:rPr/>
            </w:pPr>
            <w:r>
              <w:rPr>
                <w:b/>
                <w:color w:val="ffffff"/>
                <w:sz w:val="20"/>
              </w:rPr>
              <w:t>SAX Parser</w:t>
            </w:r>
          </w:p>
        </w:tc>
        <w:tc>
          <w:tcPr>
            <w:tcW w:w="2592" w:type="dxa"/>
            <w:tcBorders/>
            <w:shd w:val="nil" w:color="auto" w:fill="1b365d"/>
            <w:tcMar>
              <w:top w:w="140" w:type="dxa"/>
              <w:left w:w="140" w:type="dxa"/>
              <w:bottom w:w="140" w:type="dxa"/>
              <w:right w:w="140" w:type="dxa"/>
            </w:tcMar>
            <w:vAlign w:val="center"/>
          </w:tcPr>
          <w:p w14:paraId="43DD3D46">
            <w:pPr>
              <w:pStyle w:val="style0"/>
              <w:spacing w:before="0" w:after="0"/>
              <w:rPr/>
            </w:pPr>
            <w:r>
              <w:rPr>
                <w:b/>
                <w:color w:val="ffffff"/>
                <w:sz w:val="20"/>
              </w:rPr>
              <w:t>XSLT Engine</w:t>
            </w:r>
          </w:p>
        </w:tc>
      </w:tr>
      <w:tr w14:paraId="230D6174">
        <w:tblPrEx/>
        <w:trPr>
          <w:jc w:val="center"/>
        </w:trPr>
        <w:tc>
          <w:tcPr>
            <w:tcW w:w="1872" w:type="dxa"/>
            <w:tcBorders/>
            <w:shd w:val="nil" w:color="auto" w:fill="ffffff"/>
            <w:tcMar>
              <w:top w:w="100" w:type="dxa"/>
              <w:left w:w="130" w:type="dxa"/>
              <w:bottom w:w="100" w:type="dxa"/>
              <w:right w:w="130" w:type="dxa"/>
            </w:tcMar>
            <w:vAlign w:val="center"/>
          </w:tcPr>
          <w:p w14:paraId="DE4F805E">
            <w:pPr>
              <w:pStyle w:val="style0"/>
              <w:spacing w:before="0" w:after="0" w:lineRule="auto" w:line="264"/>
              <w:rPr/>
            </w:pPr>
            <w:r>
              <w:rPr>
                <w:sz w:val="19"/>
              </w:rPr>
              <w:t>Memory Footprint</w:t>
            </w:r>
          </w:p>
        </w:tc>
        <w:tc>
          <w:tcPr>
            <w:tcW w:w="2448" w:type="dxa"/>
            <w:tcBorders/>
            <w:shd w:val="nil" w:color="auto" w:fill="ffffff"/>
            <w:tcMar>
              <w:top w:w="100" w:type="dxa"/>
              <w:left w:w="130" w:type="dxa"/>
              <w:bottom w:w="100" w:type="dxa"/>
              <w:right w:w="130" w:type="dxa"/>
            </w:tcMar>
            <w:vAlign w:val="center"/>
          </w:tcPr>
          <w:p w14:paraId="EFD19C6E">
            <w:pPr>
              <w:pStyle w:val="style0"/>
              <w:spacing w:before="0" w:after="0" w:lineRule="auto" w:line="264"/>
              <w:rPr/>
            </w:pPr>
            <w:r>
              <w:rPr>
                <w:sz w:val="19"/>
              </w:rPr>
              <w:t>Extremely High: Allocates 5x to 10x the raw document file size in RAM to hold Node objects.</w:t>
            </w:r>
          </w:p>
        </w:tc>
        <w:tc>
          <w:tcPr>
            <w:tcW w:w="2448" w:type="dxa"/>
            <w:tcBorders/>
            <w:shd w:val="nil" w:color="auto" w:fill="ffffff"/>
            <w:tcMar>
              <w:top w:w="100" w:type="dxa"/>
              <w:left w:w="130" w:type="dxa"/>
              <w:bottom w:w="100" w:type="dxa"/>
              <w:right w:w="130" w:type="dxa"/>
            </w:tcMar>
            <w:vAlign w:val="center"/>
          </w:tcPr>
          <w:p w14:paraId="B7B497CA">
            <w:pPr>
              <w:pStyle w:val="style0"/>
              <w:spacing w:before="0" w:after="0" w:lineRule="auto" w:line="264"/>
              <w:rPr/>
            </w:pPr>
            <w:r>
              <w:rPr>
                <w:sz w:val="19"/>
              </w:rPr>
              <w:t>Extremely Low / Constant: O(1) memory complexity. Only holds current lexical token in memory.</w:t>
            </w:r>
          </w:p>
        </w:tc>
        <w:tc>
          <w:tcPr>
            <w:tcW w:w="2592" w:type="dxa"/>
            <w:tcBorders/>
            <w:shd w:val="nil" w:color="auto" w:fill="ffffff"/>
            <w:tcMar>
              <w:top w:w="100" w:type="dxa"/>
              <w:left w:w="130" w:type="dxa"/>
              <w:bottom w:w="100" w:type="dxa"/>
              <w:right w:w="130" w:type="dxa"/>
            </w:tcMar>
            <w:vAlign w:val="center"/>
          </w:tcPr>
          <w:p w14:paraId="FF8DBAE3">
            <w:pPr>
              <w:pStyle w:val="style0"/>
              <w:spacing w:before="0" w:after="0" w:lineRule="auto" w:line="264"/>
              <w:rPr/>
            </w:pPr>
            <w:r>
              <w:rPr>
                <w:sz w:val="19"/>
              </w:rPr>
              <w:t>High (Traditional): Incurs full tree in memory. (XSLT 3.0 supports streaming with low RAM).</w:t>
            </w:r>
          </w:p>
        </w:tc>
      </w:tr>
      <w:tr w14:paraId="58BC90D4">
        <w:tblPrEx/>
        <w:trPr>
          <w:jc w:val="center"/>
        </w:trPr>
        <w:tc>
          <w:tcPr>
            <w:tcW w:w="1872" w:type="dxa"/>
            <w:tcBorders/>
            <w:shd w:val="nil" w:color="auto" w:fill="f8fafc"/>
            <w:tcMar>
              <w:top w:w="100" w:type="dxa"/>
              <w:left w:w="130" w:type="dxa"/>
              <w:bottom w:w="100" w:type="dxa"/>
              <w:right w:w="130" w:type="dxa"/>
            </w:tcMar>
            <w:vAlign w:val="center"/>
          </w:tcPr>
          <w:p w14:paraId="626F6D18">
            <w:pPr>
              <w:pStyle w:val="style0"/>
              <w:spacing w:before="0" w:after="0" w:lineRule="auto" w:line="264"/>
              <w:rPr/>
            </w:pPr>
            <w:r>
              <w:rPr>
                <w:sz w:val="19"/>
              </w:rPr>
              <w:t>Processing Speed</w:t>
            </w:r>
          </w:p>
        </w:tc>
        <w:tc>
          <w:tcPr>
            <w:tcW w:w="2448" w:type="dxa"/>
            <w:tcBorders/>
            <w:shd w:val="nil" w:color="auto" w:fill="f8fafc"/>
            <w:tcMar>
              <w:top w:w="100" w:type="dxa"/>
              <w:left w:w="130" w:type="dxa"/>
              <w:bottom w:w="100" w:type="dxa"/>
              <w:right w:w="130" w:type="dxa"/>
            </w:tcMar>
            <w:vAlign w:val="center"/>
          </w:tcPr>
          <w:p w14:paraId="A9C32783">
            <w:pPr>
              <w:pStyle w:val="style0"/>
              <w:spacing w:before="0" w:after="0" w:lineRule="auto" w:line="264"/>
              <w:rPr/>
            </w:pPr>
            <w:r>
              <w:rPr>
                <w:sz w:val="19"/>
              </w:rPr>
              <w:t>Moderate: Incurs high upfront latency to construct tree; fast subsequent in-memory navigation.</w:t>
            </w:r>
          </w:p>
        </w:tc>
        <w:tc>
          <w:tcPr>
            <w:tcW w:w="2448" w:type="dxa"/>
            <w:tcBorders/>
            <w:shd w:val="nil" w:color="auto" w:fill="f8fafc"/>
            <w:tcMar>
              <w:top w:w="100" w:type="dxa"/>
              <w:left w:w="130" w:type="dxa"/>
              <w:bottom w:w="100" w:type="dxa"/>
              <w:right w:w="130" w:type="dxa"/>
            </w:tcMar>
            <w:vAlign w:val="center"/>
          </w:tcPr>
          <w:p w14:paraId="DD19AFB8">
            <w:pPr>
              <w:pStyle w:val="style0"/>
              <w:spacing w:before="0" w:after="0" w:lineRule="auto" w:line="264"/>
              <w:rPr/>
            </w:pPr>
            <w:r>
              <w:rPr>
                <w:sz w:val="19"/>
              </w:rPr>
              <w:t>Fastest: Linear O(N) streaming throughput. No memory allocation overhead.</w:t>
            </w:r>
          </w:p>
        </w:tc>
        <w:tc>
          <w:tcPr>
            <w:tcW w:w="2592" w:type="dxa"/>
            <w:tcBorders/>
            <w:shd w:val="nil" w:color="auto" w:fill="f8fafc"/>
            <w:tcMar>
              <w:top w:w="100" w:type="dxa"/>
              <w:left w:w="130" w:type="dxa"/>
              <w:bottom w:w="100" w:type="dxa"/>
              <w:right w:w="130" w:type="dxa"/>
            </w:tcMar>
            <w:vAlign w:val="center"/>
          </w:tcPr>
          <w:p w14:paraId="05CFC531">
            <w:pPr>
              <w:pStyle w:val="style0"/>
              <w:spacing w:before="0" w:after="0" w:lineRule="auto" w:line="264"/>
              <w:rPr/>
            </w:pPr>
            <w:r>
              <w:rPr>
                <w:sz w:val="19"/>
              </w:rPr>
              <w:t>Moderate to Slow: Pattern matching and XPath evaluation introduce algorithmic overhead.</w:t>
            </w:r>
          </w:p>
        </w:tc>
      </w:tr>
      <w:tr w14:paraId="644542BB">
        <w:tblPrEx/>
        <w:trPr>
          <w:jc w:val="center"/>
        </w:trPr>
        <w:tc>
          <w:tcPr>
            <w:tcW w:w="1872" w:type="dxa"/>
            <w:tcBorders/>
            <w:shd w:val="nil" w:color="auto" w:fill="ffffff"/>
            <w:tcMar>
              <w:top w:w="100" w:type="dxa"/>
              <w:left w:w="130" w:type="dxa"/>
              <w:bottom w:w="100" w:type="dxa"/>
              <w:right w:w="130" w:type="dxa"/>
            </w:tcMar>
            <w:vAlign w:val="center"/>
          </w:tcPr>
          <w:p w14:paraId="01E0842F">
            <w:pPr>
              <w:pStyle w:val="style0"/>
              <w:spacing w:before="0" w:after="0" w:lineRule="auto" w:line="264"/>
              <w:rPr/>
            </w:pPr>
            <w:r>
              <w:rPr>
                <w:sz w:val="19"/>
              </w:rPr>
              <w:t>Suitability for Large Data (&gt;100MB)</w:t>
            </w:r>
          </w:p>
        </w:tc>
        <w:tc>
          <w:tcPr>
            <w:tcW w:w="2448" w:type="dxa"/>
            <w:tcBorders/>
            <w:shd w:val="nil" w:color="auto" w:fill="ffffff"/>
            <w:tcMar>
              <w:top w:w="100" w:type="dxa"/>
              <w:left w:w="130" w:type="dxa"/>
              <w:bottom w:w="100" w:type="dxa"/>
              <w:right w:w="130" w:type="dxa"/>
            </w:tcMar>
            <w:vAlign w:val="center"/>
          </w:tcPr>
          <w:p w14:paraId="CD7E0897">
            <w:pPr>
              <w:pStyle w:val="style0"/>
              <w:spacing w:before="0" w:after="0" w:lineRule="auto" w:line="264"/>
              <w:rPr/>
            </w:pPr>
            <w:r>
              <w:rPr>
                <w:sz w:val="19"/>
              </w:rPr>
              <w:t>Unsuitable: Causes OutOfMemoryError (OOM) on large enterprise XML feeds.</w:t>
            </w:r>
          </w:p>
        </w:tc>
        <w:tc>
          <w:tcPr>
            <w:tcW w:w="2448" w:type="dxa"/>
            <w:tcBorders/>
            <w:shd w:val="nil" w:color="auto" w:fill="ffffff"/>
            <w:tcMar>
              <w:top w:w="100" w:type="dxa"/>
              <w:left w:w="130" w:type="dxa"/>
              <w:bottom w:w="100" w:type="dxa"/>
              <w:right w:w="130" w:type="dxa"/>
            </w:tcMar>
            <w:vAlign w:val="center"/>
          </w:tcPr>
          <w:p w14:paraId="9851632B">
            <w:pPr>
              <w:pStyle w:val="style0"/>
              <w:spacing w:before="0" w:after="0" w:lineRule="auto" w:line="264"/>
              <w:rPr/>
            </w:pPr>
            <w:r>
              <w:rPr>
                <w:sz w:val="19"/>
              </w:rPr>
              <w:t>Optimal: Seamlessly parses multi-gigabyte XML streams without memory saturation.</w:t>
            </w:r>
          </w:p>
        </w:tc>
        <w:tc>
          <w:tcPr>
            <w:tcW w:w="2592" w:type="dxa"/>
            <w:tcBorders/>
            <w:shd w:val="nil" w:color="auto" w:fill="ffffff"/>
            <w:tcMar>
              <w:top w:w="100" w:type="dxa"/>
              <w:left w:w="130" w:type="dxa"/>
              <w:bottom w:w="100" w:type="dxa"/>
              <w:right w:w="130" w:type="dxa"/>
            </w:tcMar>
            <w:vAlign w:val="center"/>
          </w:tcPr>
          <w:p w14:paraId="E951AC3C">
            <w:pPr>
              <w:pStyle w:val="style0"/>
              <w:spacing w:before="0" w:after="0" w:lineRule="auto" w:line="264"/>
              <w:rPr/>
            </w:pPr>
            <w:r>
              <w:rPr>
                <w:sz w:val="19"/>
              </w:rPr>
              <w:t>Poor for standard engines; Requires specialized streaming XSLT engines (Saxon-EE).</w:t>
            </w:r>
          </w:p>
        </w:tc>
      </w:tr>
      <w:tr w14:paraId="3A47517D">
        <w:tblPrEx/>
        <w:trPr>
          <w:jc w:val="center"/>
        </w:trPr>
        <w:tc>
          <w:tcPr>
            <w:tcW w:w="1872" w:type="dxa"/>
            <w:tcBorders/>
            <w:shd w:val="nil" w:color="auto" w:fill="f8fafc"/>
            <w:tcMar>
              <w:top w:w="100" w:type="dxa"/>
              <w:left w:w="130" w:type="dxa"/>
              <w:bottom w:w="100" w:type="dxa"/>
              <w:right w:w="130" w:type="dxa"/>
            </w:tcMar>
            <w:vAlign w:val="center"/>
          </w:tcPr>
          <w:p w14:paraId="FBDBE658">
            <w:pPr>
              <w:pStyle w:val="style0"/>
              <w:spacing w:before="0" w:after="0" w:lineRule="auto" w:line="264"/>
              <w:rPr/>
            </w:pPr>
            <w:r>
              <w:rPr>
                <w:sz w:val="19"/>
              </w:rPr>
              <w:t>Navigation &amp; Mutation</w:t>
            </w:r>
          </w:p>
        </w:tc>
        <w:tc>
          <w:tcPr>
            <w:tcW w:w="2448" w:type="dxa"/>
            <w:tcBorders/>
            <w:shd w:val="nil" w:color="auto" w:fill="f8fafc"/>
            <w:tcMar>
              <w:top w:w="100" w:type="dxa"/>
              <w:left w:w="130" w:type="dxa"/>
              <w:bottom w:w="100" w:type="dxa"/>
              <w:right w:w="130" w:type="dxa"/>
            </w:tcMar>
            <w:vAlign w:val="center"/>
          </w:tcPr>
          <w:p w14:paraId="14E6BBE5">
            <w:pPr>
              <w:pStyle w:val="style0"/>
              <w:spacing w:before="0" w:after="0" w:lineRule="auto" w:line="264"/>
              <w:rPr/>
            </w:pPr>
            <w:r>
              <w:rPr>
                <w:sz w:val="19"/>
              </w:rPr>
              <w:t>Full bi-directional navigation (XPath, parent/sibling traversal) and in-place node mutation.</w:t>
            </w:r>
          </w:p>
        </w:tc>
        <w:tc>
          <w:tcPr>
            <w:tcW w:w="2448" w:type="dxa"/>
            <w:tcBorders/>
            <w:shd w:val="nil" w:color="auto" w:fill="f8fafc"/>
            <w:tcMar>
              <w:top w:w="100" w:type="dxa"/>
              <w:left w:w="130" w:type="dxa"/>
              <w:bottom w:w="100" w:type="dxa"/>
              <w:right w:w="130" w:type="dxa"/>
            </w:tcMar>
            <w:vAlign w:val="center"/>
          </w:tcPr>
          <w:p w14:paraId="E3CBB0A7">
            <w:pPr>
              <w:pStyle w:val="style0"/>
              <w:spacing w:before="0" w:after="0" w:lineRule="auto" w:line="264"/>
              <w:rPr/>
            </w:pPr>
            <w:r>
              <w:rPr>
                <w:sz w:val="19"/>
              </w:rPr>
              <w:t>Unidirectional, forward-only stream. No backwards navigation or in-place modification.</w:t>
            </w:r>
          </w:p>
        </w:tc>
        <w:tc>
          <w:tcPr>
            <w:tcW w:w="2592" w:type="dxa"/>
            <w:tcBorders/>
            <w:shd w:val="nil" w:color="auto" w:fill="f8fafc"/>
            <w:tcMar>
              <w:top w:w="100" w:type="dxa"/>
              <w:left w:w="130" w:type="dxa"/>
              <w:bottom w:w="100" w:type="dxa"/>
              <w:right w:w="130" w:type="dxa"/>
            </w:tcMar>
            <w:vAlign w:val="center"/>
          </w:tcPr>
          <w:p w14:paraId="AE7580CC">
            <w:pPr>
              <w:pStyle w:val="style0"/>
              <w:spacing w:before="0" w:after="0" w:lineRule="auto" w:line="264"/>
              <w:rPr/>
            </w:pPr>
            <w:r>
              <w:rPr>
                <w:sz w:val="19"/>
              </w:rPr>
              <w:t>Structural transformation via template rules. Generates new tree; does not mutate source.</w:t>
            </w:r>
          </w:p>
        </w:tc>
      </w:tr>
      <w:tr w14:paraId="04C20956">
        <w:tblPrEx/>
        <w:trPr>
          <w:jc w:val="center"/>
        </w:trPr>
        <w:tc>
          <w:tcPr>
            <w:tcW w:w="1872" w:type="dxa"/>
            <w:tcBorders/>
            <w:shd w:val="nil" w:color="auto" w:fill="ffffff"/>
            <w:tcMar>
              <w:top w:w="100" w:type="dxa"/>
              <w:left w:w="130" w:type="dxa"/>
              <w:bottom w:w="100" w:type="dxa"/>
              <w:right w:w="130" w:type="dxa"/>
            </w:tcMar>
            <w:vAlign w:val="center"/>
          </w:tcPr>
          <w:p w14:paraId="6FB0F8F0">
            <w:pPr>
              <w:pStyle w:val="style0"/>
              <w:spacing w:before="0" w:after="0" w:lineRule="auto" w:line="264"/>
              <w:rPr/>
            </w:pPr>
            <w:r>
              <w:rPr>
                <w:sz w:val="19"/>
              </w:rPr>
              <w:t>Implementation Complexity</w:t>
            </w:r>
          </w:p>
        </w:tc>
        <w:tc>
          <w:tcPr>
            <w:tcW w:w="2448" w:type="dxa"/>
            <w:tcBorders/>
            <w:shd w:val="nil" w:color="auto" w:fill="ffffff"/>
            <w:tcMar>
              <w:top w:w="100" w:type="dxa"/>
              <w:left w:w="130" w:type="dxa"/>
              <w:bottom w:w="100" w:type="dxa"/>
              <w:right w:w="130" w:type="dxa"/>
            </w:tcMar>
            <w:vAlign w:val="center"/>
          </w:tcPr>
          <w:p w14:paraId="67548C9B">
            <w:pPr>
              <w:pStyle w:val="style0"/>
              <w:spacing w:before="0" w:after="0" w:lineRule="auto" w:line="264"/>
              <w:rPr/>
            </w:pPr>
            <w:r>
              <w:rPr>
                <w:sz w:val="19"/>
              </w:rPr>
              <w:t>Low to Moderate: Intuitive, object-oriented API for querying and modifying nodes.</w:t>
            </w:r>
          </w:p>
        </w:tc>
        <w:tc>
          <w:tcPr>
            <w:tcW w:w="2448" w:type="dxa"/>
            <w:tcBorders/>
            <w:shd w:val="nil" w:color="auto" w:fill="ffffff"/>
            <w:tcMar>
              <w:top w:w="100" w:type="dxa"/>
              <w:left w:w="130" w:type="dxa"/>
              <w:bottom w:w="100" w:type="dxa"/>
              <w:right w:w="130" w:type="dxa"/>
            </w:tcMar>
            <w:vAlign w:val="center"/>
          </w:tcPr>
          <w:p w14:paraId="5B3351A0">
            <w:pPr>
              <w:pStyle w:val="style0"/>
              <w:spacing w:before="0" w:after="0" w:lineRule="auto" w:line="264"/>
              <w:rPr/>
            </w:pPr>
            <w:r>
              <w:rPr>
                <w:sz w:val="19"/>
              </w:rPr>
              <w:t>High: Developer must implement state machines inside event handlers to track context.</w:t>
            </w:r>
          </w:p>
        </w:tc>
        <w:tc>
          <w:tcPr>
            <w:tcW w:w="2592" w:type="dxa"/>
            <w:tcBorders/>
            <w:shd w:val="nil" w:color="auto" w:fill="ffffff"/>
            <w:tcMar>
              <w:top w:w="100" w:type="dxa"/>
              <w:left w:w="130" w:type="dxa"/>
              <w:bottom w:w="100" w:type="dxa"/>
              <w:right w:w="130" w:type="dxa"/>
            </w:tcMar>
            <w:vAlign w:val="center"/>
          </w:tcPr>
          <w:p w14:paraId="9B4BA4C8">
            <w:pPr>
              <w:pStyle w:val="style0"/>
              <w:spacing w:before="0" w:after="0" w:lineRule="auto" w:line="264"/>
              <w:rPr/>
            </w:pPr>
            <w:r>
              <w:rPr>
                <w:sz w:val="19"/>
              </w:rPr>
              <w:t>Moderate: Requires mastery of functional programming, XPath, and template rules.</w:t>
            </w:r>
          </w:p>
        </w:tc>
      </w:tr>
      <w:tr w14:paraId="3791DDD8">
        <w:tblPrEx/>
        <w:trPr>
          <w:jc w:val="center"/>
        </w:trPr>
        <w:tc>
          <w:tcPr>
            <w:tcW w:w="1872" w:type="dxa"/>
            <w:tcBorders/>
            <w:shd w:val="nil" w:color="auto" w:fill="f8fafc"/>
            <w:tcMar>
              <w:top w:w="100" w:type="dxa"/>
              <w:left w:w="130" w:type="dxa"/>
              <w:bottom w:w="100" w:type="dxa"/>
              <w:right w:w="130" w:type="dxa"/>
            </w:tcMar>
            <w:vAlign w:val="center"/>
          </w:tcPr>
          <w:p w14:paraId="DF742B4C">
            <w:pPr>
              <w:pStyle w:val="style0"/>
              <w:spacing w:before="0" w:after="0" w:lineRule="auto" w:line="264"/>
              <w:rPr/>
            </w:pPr>
            <w:r>
              <w:rPr>
                <w:sz w:val="19"/>
              </w:rPr>
              <w:t>Ideal Use Cases</w:t>
            </w:r>
          </w:p>
        </w:tc>
        <w:tc>
          <w:tcPr>
            <w:tcW w:w="2448" w:type="dxa"/>
            <w:tcBorders/>
            <w:shd w:val="nil" w:color="auto" w:fill="f8fafc"/>
            <w:tcMar>
              <w:top w:w="100" w:type="dxa"/>
              <w:left w:w="130" w:type="dxa"/>
              <w:bottom w:w="100" w:type="dxa"/>
              <w:right w:w="130" w:type="dxa"/>
            </w:tcMar>
            <w:vAlign w:val="center"/>
          </w:tcPr>
          <w:p w14:paraId="2187F759">
            <w:pPr>
              <w:pStyle w:val="style0"/>
              <w:spacing w:before="0" w:after="0" w:lineRule="auto" w:line="264"/>
              <w:rPr/>
            </w:pPr>
            <w:r>
              <w:rPr>
                <w:sz w:val="19"/>
              </w:rPr>
              <w:t>Small configuration files, SOAP payload modification, dynamic document building.</w:t>
            </w:r>
          </w:p>
        </w:tc>
        <w:tc>
          <w:tcPr>
            <w:tcW w:w="2448" w:type="dxa"/>
            <w:tcBorders/>
            <w:shd w:val="nil" w:color="auto" w:fill="f8fafc"/>
            <w:tcMar>
              <w:top w:w="100" w:type="dxa"/>
              <w:left w:w="130" w:type="dxa"/>
              <w:bottom w:w="100" w:type="dxa"/>
              <w:right w:w="130" w:type="dxa"/>
            </w:tcMar>
            <w:vAlign w:val="center"/>
          </w:tcPr>
          <w:p w14:paraId="C678985F">
            <w:pPr>
              <w:pStyle w:val="style0"/>
              <w:spacing w:before="0" w:after="0" w:lineRule="auto" w:line="264"/>
              <w:rPr/>
            </w:pPr>
            <w:r>
              <w:rPr>
                <w:sz w:val="19"/>
              </w:rPr>
              <w:t>High-volume data ingestion, log parsing, large XML-to-Database ETL pipelines.</w:t>
            </w:r>
          </w:p>
        </w:tc>
        <w:tc>
          <w:tcPr>
            <w:tcW w:w="2592" w:type="dxa"/>
            <w:tcBorders/>
            <w:shd w:val="nil" w:color="auto" w:fill="f8fafc"/>
            <w:tcMar>
              <w:top w:w="100" w:type="dxa"/>
              <w:left w:w="130" w:type="dxa"/>
              <w:bottom w:w="100" w:type="dxa"/>
              <w:right w:w="130" w:type="dxa"/>
            </w:tcMar>
            <w:vAlign w:val="center"/>
          </w:tcPr>
          <w:p w14:paraId="8D2C3ABB">
            <w:pPr>
              <w:pStyle w:val="style0"/>
              <w:spacing w:before="0" w:after="0" w:lineRule="auto" w:line="264"/>
              <w:rPr/>
            </w:pPr>
            <w:r>
              <w:rPr>
                <w:sz w:val="19"/>
              </w:rPr>
              <w:t>Multi-format document publishing (XML to HTML/PDF), B2B schema-to-schema mapping.</w:t>
            </w:r>
          </w:p>
        </w:tc>
      </w:tr>
    </w:tbl>
    <w:p w14:paraId="8181401B">
      <w:pPr>
        <w:pStyle w:val="style0"/>
        <w:spacing w:after="160"/>
        <w:rPr/>
      </w:pPr>
    </w:p>
    <w:p w14:paraId="BFD1D175">
      <w:pPr>
        <w:pStyle w:val="style0"/>
        <w:keepNext/>
        <w:spacing w:before="240" w:after="80"/>
        <w:rPr/>
      </w:pPr>
      <w:r>
        <w:rPr>
          <w:b/>
          <w:color w:val="4a777a"/>
          <w:sz w:val="25"/>
        </w:rPr>
        <w:t>4.3 Architectural Decision Framework</w:t>
      </w:r>
    </w:p>
    <w:p w14:paraId="B60C0210">
      <w:pPr>
        <w:pStyle w:val="style0"/>
        <w:rPr/>
      </w:pPr>
      <w:r>
        <w:t>When selecting an XML processing mechanism for enterprise web applications:</w:t>
      </w:r>
      <w:r>
        <w:br/>
      </w:r>
      <w:r>
        <w:t>• Select SAX (or StAX pull-parsing) when memory efficiency and raw throughput are paramount, especially when parsing large transactional files (e.g., bank statements, catalog feeds) where data only needs to be extracted and inserted into a database.</w:t>
      </w:r>
      <w:r>
        <w:br/>
      </w:r>
      <w:r>
        <w:t>• Select DOM when the XML document is small (&lt;10MB), and the application requires complex random-access reads, tree manipulation, or in-memory node editing prior to output.</w:t>
      </w:r>
      <w:r>
        <w:br/>
      </w:r>
      <w:r>
        <w:t>• Select XSLT when the primary requirement is transforming XML data into different presentation structures or disparate schemas without writing procedural Java/PHP manipulation code.</w:t>
      </w:r>
    </w:p>
    <w:p w14:paraId="F211FF90">
      <w:pPr>
        <w:pStyle w:val="style0"/>
        <w:keepNext/>
        <w:spacing w:before="320" w:after="120"/>
        <w:rPr/>
      </w:pPr>
      <w:r>
        <w:rPr>
          <w:b/>
          <w:color w:val="1b365d"/>
          <w:sz w:val="30"/>
        </w:rPr>
        <w:t>Question 5: Server-Side Dynamic Rendering (JSP/PHP) vs. XML-Based Transformation (XSLT) for Modern Data-Driven Web Applications</w:t>
      </w:r>
    </w:p>
    <w:tbl>
      <w:tblPr>
        <w:tblW w:w="0" w:type="auto"/>
        <w:jc w:val="center"/>
        <w:tblLook w:val="04A0" w:firstRow="1" w:lastRow="0" w:firstColumn="1" w:lastColumn="0" w:noHBand="0" w:noVBand="1"/>
      </w:tblPr>
      <w:tblGrid>
        <w:gridCol w:w="9360"/>
      </w:tblGrid>
      <w:tr w14:paraId="CB6518AB">
        <w:trPr>
          <w:jc w:val="center"/>
        </w:trPr>
        <w:tc>
          <w:tcPr>
            <w:tcW w:w="9360" w:type="dxa"/>
            <w:tcBorders>
              <w:top w:val="none" w:sz="4" w:space="0" w:color="auto"/>
              <w:left w:val="single" w:sz="24" w:space="0" w:color="1b365d"/>
              <w:bottom w:val="none" w:sz="4" w:space="0" w:color="auto"/>
              <w:right w:val="none" w:sz="4" w:space="0" w:color="auto"/>
            </w:tcBorders>
            <w:shd w:val="nil" w:color="auto" w:fill="f0f4f8"/>
            <w:tcMar>
              <w:top w:w="100" w:type="dxa"/>
              <w:left w:w="150" w:type="dxa"/>
              <w:bottom w:w="100" w:type="dxa"/>
              <w:right w:w="150" w:type="dxa"/>
            </w:tcMar>
          </w:tcPr>
          <w:p w14:paraId="448C1CE8">
            <w:pPr>
              <w:pStyle w:val="style0"/>
              <w:spacing w:before="0" w:after="0" w:lineRule="auto" w:line="276"/>
              <w:rPr/>
            </w:pPr>
            <w:r>
              <w:rPr>
                <w:b/>
                <w:color w:val="1b365d"/>
                <w:sz w:val="20"/>
              </w:rPr>
              <w:t xml:space="preserve">Strategic Architectural Review: </w:t>
            </w:r>
            <w:r>
              <w:rPr>
                <w:sz w:val="20"/>
              </w:rPr>
              <w:t>Context: A software enterprise is architecting a modern data-driven web application that must deliver dynamic content with high responsiveness, concurrent scalability, and maintainability. This section compares traditional dynamic server-side rendering (JSP/PHP) with XML-based transformation techniques (XSLT) across performance, user experience, developer ergonomics, and concludes with architectural recommendations.</w:t>
            </w:r>
          </w:p>
        </w:tc>
      </w:tr>
    </w:tbl>
    <w:p w14:paraId="7D64C013">
      <w:pPr>
        <w:pStyle w:val="style0"/>
        <w:spacing w:after="80"/>
        <w:rPr/>
      </w:pPr>
    </w:p>
    <w:p w14:paraId="4A3401D4">
      <w:pPr>
        <w:pStyle w:val="style0"/>
        <w:keepNext/>
        <w:spacing w:before="240" w:after="80"/>
        <w:rPr/>
      </w:pPr>
      <w:r>
        <w:rPr>
          <w:b/>
          <w:color w:val="4a777a"/>
          <w:sz w:val="25"/>
        </w:rPr>
        <w:t>5.1 Technological Paradigms Overview</w:t>
      </w:r>
    </w:p>
    <w:p w14:paraId="294ACDCC">
      <w:pPr>
        <w:pStyle w:val="style0"/>
        <w:rPr/>
      </w:pPr>
      <w:r>
        <w:t>Modern web development demands dynamic content delivery that balances server compute load, network bandwidth, SEO indexability, and developer productivity. The two contrasting paradigms evaluated are:</w:t>
      </w:r>
    </w:p>
    <w:p w14:paraId="51A6AFA9">
      <w:pPr>
        <w:pStyle w:val="style48"/>
        <w:spacing w:after="60"/>
        <w:rPr/>
      </w:pPr>
      <w:r>
        <w:rPr>
          <w:b/>
        </w:rPr>
        <w:t xml:space="preserve">Traditional Server-Side Rendering (JSP / Modern PHP): </w:t>
      </w:r>
      <w:r>
        <w:t>Dynamic web pages are constructed on the server by binding domain models directly into HTML templates using server-side scriptlets, tag libraries (JSTL), or template engines (Blade, Twig). The server sends fully rendered HTML directly over HTTP to the client browser.</w:t>
      </w:r>
    </w:p>
    <w:p w14:paraId="82AA91D4">
      <w:pPr>
        <w:pStyle w:val="style48"/>
        <w:spacing w:after="60"/>
        <w:rPr/>
      </w:pPr>
      <w:r>
        <w:rPr>
          <w:b/>
        </w:rPr>
        <w:t xml:space="preserve">XML-Based Transformation (XSLT - Server-Side vs. Client-Side): </w:t>
      </w:r>
      <w:r>
        <w:t>Data is exposed as structured XML payloads. In Server-Side XSLT, an engine transforms XML into HTML before sending it to the client. In Client-Side XSLT, raw XML is sent along with an &lt;?xml-stylesheet?&gt; processing instruction, delegating the transformation computation entirely to the client's browser.</w:t>
      </w:r>
    </w:p>
    <w:p w14:paraId="FC457D7D">
      <w:pPr>
        <w:pStyle w:val="style0"/>
        <w:keepNext/>
        <w:spacing w:before="240" w:after="80"/>
        <w:rPr/>
      </w:pPr>
      <w:r>
        <w:rPr>
          <w:b/>
          <w:color w:val="4a777a"/>
          <w:sz w:val="25"/>
        </w:rPr>
        <w:t>5.2 Multi-Dimensional Comparison Matrix</w:t>
      </w:r>
    </w:p>
    <w:tbl>
      <w:tblPr>
        <w:tblW w:w="0" w:type="auto"/>
        <w:jc w:val="center"/>
        <w:tblLook w:val="04A0" w:firstRow="1" w:lastRow="0" w:firstColumn="1" w:lastColumn="0" w:noHBand="0" w:noVBand="1"/>
      </w:tblPr>
      <w:tblGrid>
        <w:gridCol w:w="2160"/>
        <w:gridCol w:w="3600"/>
        <w:gridCol w:w="3600"/>
      </w:tblGrid>
      <w:tr w14:paraId="55A3CF87">
        <w:trPr>
          <w:jc w:val="center"/>
        </w:trPr>
        <w:tc>
          <w:tcPr>
            <w:tcW w:w="2160" w:type="dxa"/>
            <w:tcBorders/>
            <w:shd w:val="nil" w:color="auto" w:fill="1b365d"/>
            <w:tcMar>
              <w:top w:w="140" w:type="dxa"/>
              <w:left w:w="140" w:type="dxa"/>
              <w:bottom w:w="140" w:type="dxa"/>
              <w:right w:w="140" w:type="dxa"/>
            </w:tcMar>
            <w:vAlign w:val="center"/>
          </w:tcPr>
          <w:p w14:paraId="D5457D06">
            <w:pPr>
              <w:pStyle w:val="style0"/>
              <w:spacing w:before="0" w:after="0"/>
              <w:rPr/>
            </w:pPr>
            <w:r>
              <w:rPr>
                <w:b/>
                <w:color w:val="ffffff"/>
                <w:sz w:val="20"/>
              </w:rPr>
              <w:t>Evaluation Dimension</w:t>
            </w:r>
          </w:p>
        </w:tc>
        <w:tc>
          <w:tcPr>
            <w:tcW w:w="3600" w:type="dxa"/>
            <w:tcBorders/>
            <w:shd w:val="nil" w:color="auto" w:fill="1b365d"/>
            <w:tcMar>
              <w:top w:w="140" w:type="dxa"/>
              <w:left w:w="140" w:type="dxa"/>
              <w:bottom w:w="140" w:type="dxa"/>
              <w:right w:w="140" w:type="dxa"/>
            </w:tcMar>
            <w:vAlign w:val="center"/>
          </w:tcPr>
          <w:p w14:paraId="FFF4DD42">
            <w:pPr>
              <w:pStyle w:val="style0"/>
              <w:spacing w:before="0" w:after="0"/>
              <w:rPr/>
            </w:pPr>
            <w:r>
              <w:rPr>
                <w:b/>
                <w:color w:val="ffffff"/>
                <w:sz w:val="20"/>
              </w:rPr>
              <w:t>Traditional SSR (JSP / Modern PHP)</w:t>
            </w:r>
          </w:p>
        </w:tc>
        <w:tc>
          <w:tcPr>
            <w:tcW w:w="3600" w:type="dxa"/>
            <w:tcBorders/>
            <w:shd w:val="nil" w:color="auto" w:fill="1b365d"/>
            <w:tcMar>
              <w:top w:w="140" w:type="dxa"/>
              <w:left w:w="140" w:type="dxa"/>
              <w:bottom w:w="140" w:type="dxa"/>
              <w:right w:w="140" w:type="dxa"/>
            </w:tcMar>
            <w:vAlign w:val="center"/>
          </w:tcPr>
          <w:p w14:paraId="93051B66">
            <w:pPr>
              <w:pStyle w:val="style0"/>
              <w:spacing w:before="0" w:after="0"/>
              <w:rPr/>
            </w:pPr>
            <w:r>
              <w:rPr>
                <w:b/>
                <w:color w:val="ffffff"/>
                <w:sz w:val="20"/>
              </w:rPr>
              <w:t>XML-Based Transformation (XSLT)</w:t>
            </w:r>
          </w:p>
        </w:tc>
      </w:tr>
      <w:tr w14:paraId="D6A9EC57">
        <w:tblPrEx/>
        <w:trPr>
          <w:jc w:val="center"/>
        </w:trPr>
        <w:tc>
          <w:tcPr>
            <w:tcW w:w="2160" w:type="dxa"/>
            <w:tcBorders/>
            <w:shd w:val="nil" w:color="auto" w:fill="ffffff"/>
            <w:tcMar>
              <w:top w:w="100" w:type="dxa"/>
              <w:left w:w="130" w:type="dxa"/>
              <w:bottom w:w="100" w:type="dxa"/>
              <w:right w:w="130" w:type="dxa"/>
            </w:tcMar>
            <w:vAlign w:val="center"/>
          </w:tcPr>
          <w:p w14:paraId="1EAA6D76">
            <w:pPr>
              <w:pStyle w:val="style0"/>
              <w:spacing w:before="0" w:after="0" w:lineRule="auto" w:line="264"/>
              <w:rPr/>
            </w:pPr>
            <w:r>
              <w:rPr>
                <w:sz w:val="19"/>
              </w:rPr>
              <w:t>Rendering Performance &amp; CPU Efficiency</w:t>
            </w:r>
          </w:p>
        </w:tc>
        <w:tc>
          <w:tcPr>
            <w:tcW w:w="3600" w:type="dxa"/>
            <w:tcBorders/>
            <w:shd w:val="nil" w:color="auto" w:fill="ffffff"/>
            <w:tcMar>
              <w:top w:w="100" w:type="dxa"/>
              <w:left w:w="130" w:type="dxa"/>
              <w:bottom w:w="100" w:type="dxa"/>
              <w:right w:w="130" w:type="dxa"/>
            </w:tcMar>
            <w:vAlign w:val="center"/>
          </w:tcPr>
          <w:p w14:paraId="986EDE22">
            <w:pPr>
              <w:pStyle w:val="style0"/>
              <w:spacing w:before="0" w:after="0" w:lineRule="auto" w:line="264"/>
              <w:rPr/>
            </w:pPr>
            <w:r>
              <w:rPr>
                <w:sz w:val="19"/>
              </w:rPr>
              <w:t>High server efficiency: Compiled bytecode (JSP Servlets) and native C execution (PHP OPcache) render views with minimal CPU overhead and direct streaming.</w:t>
            </w:r>
          </w:p>
        </w:tc>
        <w:tc>
          <w:tcPr>
            <w:tcW w:w="3600" w:type="dxa"/>
            <w:tcBorders/>
            <w:shd w:val="nil" w:color="auto" w:fill="ffffff"/>
            <w:tcMar>
              <w:top w:w="100" w:type="dxa"/>
              <w:left w:w="130" w:type="dxa"/>
              <w:bottom w:w="100" w:type="dxa"/>
              <w:right w:w="130" w:type="dxa"/>
            </w:tcMar>
            <w:vAlign w:val="center"/>
          </w:tcPr>
          <w:p w14:paraId="834037F6">
            <w:pPr>
              <w:pStyle w:val="style0"/>
              <w:spacing w:before="0" w:after="0" w:lineRule="auto" w:line="264"/>
              <w:rPr/>
            </w:pPr>
            <w:r>
              <w:rPr>
                <w:sz w:val="19"/>
              </w:rPr>
              <w:t>Moderate server efficiency: Parsing XML trees and executing template pattern matches is CPU-intensive on the server. (Very high efficiency if offloaded to client-side XSLT).</w:t>
            </w:r>
          </w:p>
        </w:tc>
      </w:tr>
      <w:tr w14:paraId="F9DB9DF0">
        <w:tblPrEx/>
        <w:trPr>
          <w:jc w:val="center"/>
        </w:trPr>
        <w:tc>
          <w:tcPr>
            <w:tcW w:w="2160" w:type="dxa"/>
            <w:tcBorders/>
            <w:shd w:val="nil" w:color="auto" w:fill="f8fafc"/>
            <w:tcMar>
              <w:top w:w="100" w:type="dxa"/>
              <w:left w:w="130" w:type="dxa"/>
              <w:bottom w:w="100" w:type="dxa"/>
              <w:right w:w="130" w:type="dxa"/>
            </w:tcMar>
            <w:vAlign w:val="center"/>
          </w:tcPr>
          <w:p w14:paraId="F4393566">
            <w:pPr>
              <w:pStyle w:val="style0"/>
              <w:spacing w:before="0" w:after="0" w:lineRule="auto" w:line="264"/>
              <w:rPr/>
            </w:pPr>
            <w:r>
              <w:rPr>
                <w:sz w:val="19"/>
              </w:rPr>
              <w:t>Scalability Under Concurrent Loads</w:t>
            </w:r>
          </w:p>
        </w:tc>
        <w:tc>
          <w:tcPr>
            <w:tcW w:w="3600" w:type="dxa"/>
            <w:tcBorders/>
            <w:shd w:val="nil" w:color="auto" w:fill="f8fafc"/>
            <w:tcMar>
              <w:top w:w="100" w:type="dxa"/>
              <w:left w:w="130" w:type="dxa"/>
              <w:bottom w:w="100" w:type="dxa"/>
              <w:right w:w="130" w:type="dxa"/>
            </w:tcMar>
            <w:vAlign w:val="center"/>
          </w:tcPr>
          <w:p w14:paraId="D0B0C33B">
            <w:pPr>
              <w:pStyle w:val="style0"/>
              <w:spacing w:before="0" w:after="0" w:lineRule="auto" w:line="264"/>
              <w:rPr/>
            </w:pPr>
            <w:r>
              <w:rPr>
                <w:sz w:val="19"/>
              </w:rPr>
              <w:t>Excellent horizontal scalability. Stateless session architectures, connection pools, and edge HTML caching (Varnish, Cloudflare) deliver high concurrency.</w:t>
            </w:r>
          </w:p>
        </w:tc>
        <w:tc>
          <w:tcPr>
            <w:tcW w:w="3600" w:type="dxa"/>
            <w:tcBorders/>
            <w:shd w:val="nil" w:color="auto" w:fill="f8fafc"/>
            <w:tcMar>
              <w:top w:w="100" w:type="dxa"/>
              <w:left w:w="130" w:type="dxa"/>
              <w:bottom w:w="100" w:type="dxa"/>
              <w:right w:w="130" w:type="dxa"/>
            </w:tcMar>
            <w:vAlign w:val="center"/>
          </w:tcPr>
          <w:p w14:paraId="9137BE96">
            <w:pPr>
              <w:pStyle w:val="style0"/>
              <w:spacing w:before="0" w:after="0" w:lineRule="auto" w:line="264"/>
              <w:rPr/>
            </w:pPr>
            <w:r>
              <w:rPr>
                <w:sz w:val="19"/>
              </w:rPr>
              <w:t>Server-side XSLT suffers bottleneck under high concurrent load due to tree allocation. Client-side XSLT achieves near-infinite scalability by serving raw static XML.</w:t>
            </w:r>
          </w:p>
        </w:tc>
      </w:tr>
      <w:tr w14:paraId="C539BC07">
        <w:tblPrEx/>
        <w:trPr>
          <w:jc w:val="center"/>
        </w:trPr>
        <w:tc>
          <w:tcPr>
            <w:tcW w:w="2160" w:type="dxa"/>
            <w:tcBorders/>
            <w:shd w:val="nil" w:color="auto" w:fill="ffffff"/>
            <w:tcMar>
              <w:top w:w="100" w:type="dxa"/>
              <w:left w:w="130" w:type="dxa"/>
              <w:bottom w:w="100" w:type="dxa"/>
              <w:right w:w="130" w:type="dxa"/>
            </w:tcMar>
            <w:vAlign w:val="center"/>
          </w:tcPr>
          <w:p w14:paraId="A2430A5E">
            <w:pPr>
              <w:pStyle w:val="style0"/>
              <w:spacing w:before="0" w:after="0" w:lineRule="auto" w:line="264"/>
              <w:rPr/>
            </w:pPr>
            <w:r>
              <w:rPr>
                <w:sz w:val="19"/>
              </w:rPr>
              <w:t>User Experience &amp; Responsiveness</w:t>
            </w:r>
          </w:p>
        </w:tc>
        <w:tc>
          <w:tcPr>
            <w:tcW w:w="3600" w:type="dxa"/>
            <w:tcBorders/>
            <w:shd w:val="nil" w:color="auto" w:fill="ffffff"/>
            <w:tcMar>
              <w:top w:w="100" w:type="dxa"/>
              <w:left w:w="130" w:type="dxa"/>
              <w:bottom w:w="100" w:type="dxa"/>
              <w:right w:w="130" w:type="dxa"/>
            </w:tcMar>
            <w:vAlign w:val="center"/>
          </w:tcPr>
          <w:p w14:paraId="00B24EA1">
            <w:pPr>
              <w:pStyle w:val="style0"/>
              <w:spacing w:before="0" w:after="0" w:lineRule="auto" w:line="264"/>
              <w:rPr/>
            </w:pPr>
            <w:r>
              <w:rPr>
                <w:sz w:val="19"/>
              </w:rPr>
              <w:t>Fast First Contentful Paint (FCP) and Time to Interactive (TTI). Search engines index SSR content flawlessly. Supports progressive hydration.</w:t>
            </w:r>
          </w:p>
        </w:tc>
        <w:tc>
          <w:tcPr>
            <w:tcW w:w="3600" w:type="dxa"/>
            <w:tcBorders/>
            <w:shd w:val="nil" w:color="auto" w:fill="ffffff"/>
            <w:tcMar>
              <w:top w:w="100" w:type="dxa"/>
              <w:left w:w="130" w:type="dxa"/>
              <w:bottom w:w="100" w:type="dxa"/>
              <w:right w:w="130" w:type="dxa"/>
            </w:tcMar>
            <w:vAlign w:val="center"/>
          </w:tcPr>
          <w:p w14:paraId="71E000C6">
            <w:pPr>
              <w:pStyle w:val="style0"/>
              <w:spacing w:before="0" w:after="0" w:lineRule="auto" w:line="264"/>
              <w:rPr/>
            </w:pPr>
            <w:r>
              <w:rPr>
                <w:sz w:val="19"/>
              </w:rPr>
              <w:t>Client-side XSLT introduces rendering flicker (FOUC), browser inconsistencies, and poor mobile device performance. Modern browsers increasingly deprecate client XSLT.</w:t>
            </w:r>
          </w:p>
        </w:tc>
      </w:tr>
      <w:tr w14:paraId="85BE8433">
        <w:tblPrEx/>
        <w:trPr>
          <w:jc w:val="center"/>
        </w:trPr>
        <w:tc>
          <w:tcPr>
            <w:tcW w:w="2160" w:type="dxa"/>
            <w:tcBorders/>
            <w:shd w:val="nil" w:color="auto" w:fill="f8fafc"/>
            <w:tcMar>
              <w:top w:w="100" w:type="dxa"/>
              <w:left w:w="130" w:type="dxa"/>
              <w:bottom w:w="100" w:type="dxa"/>
              <w:right w:w="130" w:type="dxa"/>
            </w:tcMar>
            <w:vAlign w:val="center"/>
          </w:tcPr>
          <w:p w14:paraId="1CCCB297">
            <w:pPr>
              <w:pStyle w:val="style0"/>
              <w:spacing w:before="0" w:after="0" w:lineRule="auto" w:line="264"/>
              <w:rPr/>
            </w:pPr>
            <w:r>
              <w:rPr>
                <w:sz w:val="19"/>
              </w:rPr>
              <w:t>Developer Ecosystem &amp; Ergonomics</w:t>
            </w:r>
          </w:p>
        </w:tc>
        <w:tc>
          <w:tcPr>
            <w:tcW w:w="3600" w:type="dxa"/>
            <w:tcBorders/>
            <w:shd w:val="nil" w:color="auto" w:fill="f8fafc"/>
            <w:tcMar>
              <w:top w:w="100" w:type="dxa"/>
              <w:left w:w="130" w:type="dxa"/>
              <w:bottom w:w="100" w:type="dxa"/>
              <w:right w:w="130" w:type="dxa"/>
            </w:tcMar>
            <w:vAlign w:val="center"/>
          </w:tcPr>
          <w:p w14:paraId="1EAF05BF">
            <w:pPr>
              <w:pStyle w:val="style0"/>
              <w:spacing w:before="0" w:after="0" w:lineRule="auto" w:line="264"/>
              <w:rPr/>
            </w:pPr>
            <w:r>
              <w:rPr>
                <w:sz w:val="19"/>
              </w:rPr>
              <w:t>Vast ecosystem: Rich component libraries, CSS frameworks (Tailwind, Bootstrap), hot-module reloading, debugging tools, and massive developer talent pools.</w:t>
            </w:r>
          </w:p>
        </w:tc>
        <w:tc>
          <w:tcPr>
            <w:tcW w:w="3600" w:type="dxa"/>
            <w:tcBorders/>
            <w:shd w:val="nil" w:color="auto" w:fill="f8fafc"/>
            <w:tcMar>
              <w:top w:w="100" w:type="dxa"/>
              <w:left w:w="130" w:type="dxa"/>
              <w:bottom w:w="100" w:type="dxa"/>
              <w:right w:w="130" w:type="dxa"/>
            </w:tcMar>
            <w:vAlign w:val="center"/>
          </w:tcPr>
          <w:p w14:paraId="F260C9DA">
            <w:pPr>
              <w:pStyle w:val="style0"/>
              <w:spacing w:before="0" w:after="0" w:lineRule="auto" w:line="264"/>
              <w:rPr/>
            </w:pPr>
            <w:r>
              <w:rPr>
                <w:sz w:val="19"/>
              </w:rPr>
              <w:t>Niche skillset: XSLT/XPath has steep learning curves, limited modern UI framework integration, rigid debugging workflows, and declining community support.</w:t>
            </w:r>
          </w:p>
        </w:tc>
      </w:tr>
      <w:tr w14:paraId="7F6CA2B6">
        <w:tblPrEx/>
        <w:trPr>
          <w:jc w:val="center"/>
        </w:trPr>
        <w:tc>
          <w:tcPr>
            <w:tcW w:w="2160" w:type="dxa"/>
            <w:tcBorders/>
            <w:shd w:val="nil" w:color="auto" w:fill="ffffff"/>
            <w:tcMar>
              <w:top w:w="100" w:type="dxa"/>
              <w:left w:w="130" w:type="dxa"/>
              <w:bottom w:w="100" w:type="dxa"/>
              <w:right w:w="130" w:type="dxa"/>
            </w:tcMar>
            <w:vAlign w:val="center"/>
          </w:tcPr>
          <w:p w14:paraId="E3FED30D">
            <w:pPr>
              <w:pStyle w:val="style0"/>
              <w:spacing w:before="0" w:after="0" w:lineRule="auto" w:line="264"/>
              <w:rPr/>
            </w:pPr>
            <w:r>
              <w:rPr>
                <w:sz w:val="19"/>
              </w:rPr>
              <w:t>Data Decoupling &amp; Reusability</w:t>
            </w:r>
          </w:p>
        </w:tc>
        <w:tc>
          <w:tcPr>
            <w:tcW w:w="3600" w:type="dxa"/>
            <w:tcBorders/>
            <w:shd w:val="nil" w:color="auto" w:fill="ffffff"/>
            <w:tcMar>
              <w:top w:w="100" w:type="dxa"/>
              <w:left w:w="130" w:type="dxa"/>
              <w:bottom w:w="100" w:type="dxa"/>
              <w:right w:w="130" w:type="dxa"/>
            </w:tcMar>
            <w:vAlign w:val="center"/>
          </w:tcPr>
          <w:p w14:paraId="6B5D1378">
            <w:pPr>
              <w:pStyle w:val="style0"/>
              <w:spacing w:before="0" w:after="0" w:lineRule="auto" w:line="264"/>
              <w:rPr/>
            </w:pPr>
            <w:r>
              <w:rPr>
                <w:sz w:val="19"/>
              </w:rPr>
              <w:t>Requires explicit API layers (e.g., REST/JSON controllers) to reuse backend data models across non-web clients (mobile apps, external consumers).</w:t>
            </w:r>
          </w:p>
        </w:tc>
        <w:tc>
          <w:tcPr>
            <w:tcW w:w="3600" w:type="dxa"/>
            <w:tcBorders/>
            <w:shd w:val="nil" w:color="auto" w:fill="ffffff"/>
            <w:tcMar>
              <w:top w:w="100" w:type="dxa"/>
              <w:left w:w="130" w:type="dxa"/>
              <w:bottom w:w="100" w:type="dxa"/>
              <w:right w:w="130" w:type="dxa"/>
            </w:tcMar>
            <w:vAlign w:val="center"/>
          </w:tcPr>
          <w:p w14:paraId="D910828F">
            <w:pPr>
              <w:pStyle w:val="style0"/>
              <w:spacing w:before="0" w:after="0" w:lineRule="auto" w:line="264"/>
              <w:rPr/>
            </w:pPr>
            <w:r>
              <w:rPr>
                <w:sz w:val="19"/>
              </w:rPr>
              <w:t>Native decoupling: The XML dataset represents pure structured data, completely decoupled from presentation rules.</w:t>
            </w:r>
          </w:p>
        </w:tc>
      </w:tr>
    </w:tbl>
    <w:p w14:paraId="3C63A447">
      <w:pPr>
        <w:pStyle w:val="style0"/>
        <w:spacing w:after="160"/>
        <w:rPr/>
      </w:pPr>
    </w:p>
    <w:p w14:paraId="8346DB4A">
      <w:pPr>
        <w:pStyle w:val="style0"/>
        <w:keepNext/>
        <w:spacing w:before="240" w:after="80"/>
        <w:rPr/>
      </w:pPr>
      <w:r>
        <w:rPr>
          <w:b/>
          <w:color w:val="4a777a"/>
          <w:sz w:val="25"/>
        </w:rPr>
        <w:t>5.3 Final Strategic Recommendation for Modern Web Development</w:t>
      </w:r>
    </w:p>
    <w:p w14:paraId="BE090559">
      <w:pPr>
        <w:pStyle w:val="style0"/>
        <w:rPr/>
      </w:pPr>
      <w:r>
        <w:rPr>
          <w:b/>
        </w:rPr>
        <w:t xml:space="preserve">Final Architectural Verdict: </w:t>
      </w:r>
      <w:r>
        <w:t xml:space="preserve">For modern data-driven web applications, </w:t>
      </w:r>
      <w:r>
        <w:rPr>
          <w:b/>
        </w:rPr>
        <w:t>Traditional Server-Side Rendering (using modern frameworks like Spring Boot with Thymeleaf, Laravel Blade, or Next.js / Nuxt.js SSR)</w:t>
      </w:r>
      <w:r>
        <w:t xml:space="preserve"> coupled with </w:t>
      </w:r>
      <w:r>
        <w:rPr>
          <w:b/>
        </w:rPr>
        <w:t>RESTful / GraphQL JSON APIs</w:t>
      </w:r>
      <w:r>
        <w:t xml:space="preserve"> is unequivocally recommended over XML/XSLT-based web architectures for the following decisive reasons:</w:t>
      </w:r>
      <w:r>
        <w:br/>
      </w:r>
      <w:r>
        <w:t>1. Industry Standardization on JSON: Modern frontend client ecosystems (React, Vue, Angular, Mobile iOS/Android) natively consume JSON with zero transformation overhead.</w:t>
      </w:r>
      <w:r>
        <w:br/>
      </w:r>
      <w:r>
        <w:t>2. Performance &amp; Mobile Optimization: JSON payloads are significantly more compact than verbose XML tags, conserving mobile bandwidth and CPU battery life.</w:t>
      </w:r>
      <w:r>
        <w:br/>
      </w:r>
      <w:r>
        <w:t>3. Developer Productivity &amp; Maintainability: Modern template engines provide modular component encapsulation, automated security sanitization, and rapid tooling.</w:t>
      </w:r>
      <w:r>
        <w:br/>
      </w:r>
      <w:r>
        <w:t>4. Retaining XSLT for Enterprise Document Workflows: XSLT should be strategically retained not as a web UI rendering engine, but as an enterprise backend document pipeline for generating multi-format reports (PDF, XML B2B feeds, and regulatory EDI documents).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276"/>
    </w:pPr>
    <w:rPr>
      <w:rFonts w:ascii="Calibri" w:hAnsi="Calibri"/>
      <w:color w:val="222222"/>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49ff5b0-ab1c-4129-a4c6-46098fae2d8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c5854c1-df97-47e2-a11a-6171157cd61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482741e-6b2d-48c6-ab3f-105f9af891cd"/>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2df0be3-d001-493b-b38f-a7e82a0a667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ebc4709-cbf3-40b5-8fbc-84aa7eaaecc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3f0ec99d-bfa6-4b4b-9274-1dcb803886f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82101ce-20e1-435c-a3e1-5bdacd15edf4"/>
    <w:basedOn w:val="style65"/>
    <w:next w:val="style4108"/>
    <w:link w:val="style180"/>
    <w:uiPriority w:val="29"/>
    <w:rPr>
      <w:i/>
      <w:iCs/>
      <w:color w:val="000000"/>
    </w:rPr>
  </w:style>
  <w:style w:type="character" w:customStyle="1" w:styleId="style4109">
    <w:name w:val="Heading 4 Char_42646476-5ee3-433c-b7ea-b5d6bbd0aef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65a236c-b4b0-43cb-983f-24e6887d47d4"/>
    <w:basedOn w:val="style65"/>
    <w:next w:val="style4110"/>
    <w:link w:val="style5"/>
    <w:uiPriority w:val="9"/>
    <w:rPr>
      <w:rFonts w:ascii="Calibri" w:cs="宋体" w:eastAsia="ＭＳ ゴシック" w:hAnsi="Calibri"/>
      <w:color w:val="243f60"/>
    </w:rPr>
  </w:style>
  <w:style w:type="character" w:customStyle="1" w:styleId="style4111">
    <w:name w:val="Heading 6 Char_4ec8942f-c63f-4ad7-9479-feee081dfda3"/>
    <w:basedOn w:val="style65"/>
    <w:next w:val="style4111"/>
    <w:link w:val="style6"/>
    <w:uiPriority w:val="9"/>
    <w:rPr>
      <w:rFonts w:ascii="Calibri" w:cs="宋体" w:eastAsia="ＭＳ ゴシック" w:hAnsi="Calibri"/>
      <w:i/>
      <w:iCs/>
      <w:color w:val="243f60"/>
    </w:rPr>
  </w:style>
  <w:style w:type="character" w:customStyle="1" w:styleId="style4112">
    <w:name w:val="Heading 7 Char_d7d06322-7680-44a5-8646-686bf778978b"/>
    <w:basedOn w:val="style65"/>
    <w:next w:val="style4112"/>
    <w:link w:val="style7"/>
    <w:uiPriority w:val="9"/>
    <w:rPr>
      <w:rFonts w:ascii="Calibri" w:cs="宋体" w:eastAsia="ＭＳ ゴシック" w:hAnsi="Calibri"/>
      <w:i/>
      <w:iCs/>
      <w:color w:val="404040"/>
    </w:rPr>
  </w:style>
  <w:style w:type="character" w:customStyle="1" w:styleId="style4113">
    <w:name w:val="Heading 8 Char_90ec351f-0518-4c42-ab65-213bd3423b7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f308d7d8-0410-4f2a-a5ca-ea3be46a49ff"/>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8712355-cd8d-4d32-a2db-4276a60e9a4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3078</Words>
  <Pages>1</Pages>
  <Characters>21203</Characters>
  <Application>WPS Office</Application>
  <DocSecurity>0</DocSecurity>
  <Paragraphs>215</Paragraphs>
  <ScaleCrop>false</ScaleCrop>
  <LinksUpToDate>false</LinksUpToDate>
  <CharactersWithSpaces>24107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X6711</lastModifiedBy>
  <dcterms:modified xsi:type="dcterms:W3CDTF">2026-09-01T02:39:11Z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dcaf9071608b46ad9c55da340e8f1cc4_23</vt:lpwstr>
  </property>
</Properties>
</file>