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4C5C" w14:textId="77777777" w:rsidR="00E01953" w:rsidRDefault="0042447E">
      <w:pPr>
        <w:keepNext/>
        <w:spacing w:before="280" w:after="120"/>
      </w:pPr>
      <w:r>
        <w:rPr>
          <w:rFonts w:ascii="Calibri" w:hAnsi="Calibri"/>
          <w:b/>
          <w:color w:val="182B49"/>
          <w:sz w:val="30"/>
        </w:rPr>
        <w:t xml:space="preserve">Question 1: Hospital Patient Segmentation </w:t>
      </w:r>
    </w:p>
    <w:p w14:paraId="2A8F147A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1.1 Dataset &amp; Given Parameters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1953" w14:paraId="7CE17E74" w14:textId="77777777">
        <w:trPr>
          <w:jc w:val="center"/>
        </w:trPr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68DB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Patient ID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7FEA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Age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EC22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Medical Expense (₹)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89B4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Health Risk Score</w:t>
            </w:r>
          </w:p>
        </w:tc>
      </w:tr>
      <w:tr w:rsidR="00E01953" w14:paraId="7911E4E3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191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P1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93F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753A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12,000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18F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65</w:t>
            </w:r>
          </w:p>
        </w:tc>
      </w:tr>
      <w:tr w:rsidR="00E01953" w14:paraId="76B75FD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C4A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P2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6C5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795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25,000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68C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40</w:t>
            </w:r>
          </w:p>
        </w:tc>
      </w:tr>
      <w:tr w:rsidR="00E01953" w14:paraId="79A31208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372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P3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219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42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E3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20,000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5B3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75</w:t>
            </w:r>
          </w:p>
        </w:tc>
      </w:tr>
      <w:tr w:rsidR="00E01953" w14:paraId="763F16E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B5B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P4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19A5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C0C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11,000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A8F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70</w:t>
            </w:r>
          </w:p>
        </w:tc>
      </w:tr>
      <w:tr w:rsidR="00E01953" w14:paraId="4EEB2EF7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0864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P5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C80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B84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28,000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152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35</w:t>
            </w:r>
          </w:p>
        </w:tc>
      </w:tr>
    </w:tbl>
    <w:p w14:paraId="2F75A39B" w14:textId="77777777" w:rsidR="00E01953" w:rsidRDefault="00E0195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1953" w14:paraId="0A4CB927" w14:textId="77777777">
        <w:trPr>
          <w:jc w:val="center"/>
        </w:trPr>
        <w:tc>
          <w:tcPr>
            <w:tcW w:w="234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3E09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Number of Clusters (K)</w:t>
            </w:r>
          </w:p>
        </w:tc>
        <w:tc>
          <w:tcPr>
            <w:tcW w:w="234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B91D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Sum of Squared Errors (SSE)</w:t>
            </w:r>
          </w:p>
        </w:tc>
        <w:tc>
          <w:tcPr>
            <w:tcW w:w="234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38D8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 SSE (Reduction from K-1)</w:t>
            </w:r>
          </w:p>
        </w:tc>
        <w:tc>
          <w:tcPr>
            <w:tcW w:w="234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8FDC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Marginal % Improvement</w:t>
            </w:r>
          </w:p>
        </w:tc>
      </w:tr>
      <w:tr w:rsidR="00E01953" w14:paraId="308FAEE8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B28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1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E3E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DBF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-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00C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-</w:t>
            </w:r>
          </w:p>
        </w:tc>
      </w:tr>
      <w:tr w:rsidR="00E01953" w14:paraId="6CAAF40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C13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1B8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350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BFC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250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A51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41.67%</w:t>
            </w:r>
          </w:p>
        </w:tc>
      </w:tr>
      <w:tr w:rsidR="00E01953" w14:paraId="42D771E6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3D4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C85A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220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EC6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130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FEB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37.14%</w:t>
            </w:r>
          </w:p>
        </w:tc>
      </w:tr>
      <w:tr w:rsidR="00E01953" w14:paraId="0D55B5A0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6B4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841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605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DE7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9.09%</w:t>
            </w:r>
          </w:p>
        </w:tc>
      </w:tr>
      <w:tr w:rsidR="00E01953" w14:paraId="2EF1C5C4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786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5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6AA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190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457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BF2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5.00%</w:t>
            </w:r>
          </w:p>
        </w:tc>
      </w:tr>
    </w:tbl>
    <w:p w14:paraId="0C3CAE53" w14:textId="77777777" w:rsidR="00E01953" w:rsidRDefault="00E01953">
      <w:pPr>
        <w:spacing w:after="120"/>
      </w:pPr>
    </w:p>
    <w:p w14:paraId="0EF86086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1.2 Interpretation of the Elbow Point &amp; Optimal Number of Clusters</w:t>
      </w:r>
    </w:p>
    <w:p w14:paraId="699BBB43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Elbow Method Principle: </w:t>
      </w:r>
      <w:r>
        <w:rPr>
          <w:rFonts w:ascii="Calibri" w:hAnsi="Calibri"/>
          <w:color w:val="282828"/>
        </w:rPr>
        <w:t>The Elbow Method evaluates the Sum of Squared Errors (SSE) as a function of the number of clusters (K) to identify where the rate of decrease sharply diminishes (the 'elbow'). SSE represents the total intra-cluster variance, measuring how tightly grouped points are around their respective cluster centroids.</w:t>
      </w:r>
    </w:p>
    <w:p w14:paraId="166BD73A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Transition from K=1 to K=2: </w:t>
      </w:r>
      <w:r>
        <w:rPr>
          <w:rFonts w:ascii="Calibri" w:hAnsi="Calibri"/>
          <w:color w:val="282828"/>
        </w:rPr>
        <w:t>SSE drops substantially from 600 to 350 (Δ = 250, 41.7% reduction).</w:t>
      </w:r>
    </w:p>
    <w:p w14:paraId="422C966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Transition from K=2 to K=3: </w:t>
      </w:r>
      <w:r>
        <w:rPr>
          <w:rFonts w:ascii="Calibri" w:hAnsi="Calibri"/>
          <w:color w:val="282828"/>
        </w:rPr>
        <w:t>SSE drops significantly from 350 to 220 (Δ = 130, 37.1% reduction).</w:t>
      </w:r>
    </w:p>
    <w:p w14:paraId="4392A81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Transition from K=3 to K=4: </w:t>
      </w:r>
      <w:r>
        <w:rPr>
          <w:rFonts w:ascii="Calibri" w:hAnsi="Calibri"/>
          <w:color w:val="282828"/>
        </w:rPr>
        <w:t>SSE drops only marginally from 220 to 200 (Δ = 20, 9.1% reduction).</w:t>
      </w:r>
    </w:p>
    <w:p w14:paraId="6C473672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Transition from K=4 to K=5: </w:t>
      </w:r>
      <w:r>
        <w:rPr>
          <w:rFonts w:ascii="Calibri" w:hAnsi="Calibri"/>
          <w:color w:val="282828"/>
        </w:rPr>
        <w:t>SSE further plateaus to 190 (Δ = 10, 5.0% reduction).</w:t>
      </w:r>
    </w:p>
    <w:p w14:paraId="0300A72F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Conclusion on Optimal K: </w:t>
      </w:r>
      <w:r>
        <w:rPr>
          <w:rFonts w:ascii="Calibri" w:hAnsi="Calibri"/>
          <w:color w:val="282828"/>
        </w:rPr>
        <w:t>The inflection point ('elbow') clearly occurs at K = 3. Moving beyond K = 3 yields diminishing marginal returns in error reduction while increasing model complexity and risking overfitting. Hence, K = 3 is mathematically and operationally the optimal number of clusters.</w:t>
      </w:r>
    </w:p>
    <w:p w14:paraId="4B1A5B9D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1.3 Patient Segmentation Profiles &amp; Healthcare Decision-Making</w:t>
      </w:r>
    </w:p>
    <w:p w14:paraId="4D396FF3" w14:textId="77777777" w:rsidR="00E01953" w:rsidRDefault="0042447E">
      <w:pPr>
        <w:spacing w:after="120"/>
      </w:pPr>
      <w:r>
        <w:rPr>
          <w:rFonts w:ascii="Calibri" w:hAnsi="Calibri"/>
          <w:color w:val="282828"/>
        </w:rPr>
        <w:t>Based on K = 3, the patient dataset naturally segments into three distinct clinical and economic profiles:</w:t>
      </w:r>
    </w:p>
    <w:p w14:paraId="2F88ACEC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1 — Young, Low Expense, Moderate/High Risk (P1, P4): </w:t>
      </w:r>
      <w:r>
        <w:rPr>
          <w:rFonts w:ascii="Calibri" w:hAnsi="Calibri"/>
          <w:color w:val="282828"/>
        </w:rPr>
        <w:t>Average age ~29, monthly expenses ~₹11,500, risk scores 65–70. These individuals are early-stage or preventive-care candidates. Decision-Making: Implement proactive health wellness apps, lifestyle counseling, routine screening, and affordable preventive insurance plans to avoid disease escalation.</w:t>
      </w:r>
    </w:p>
    <w:p w14:paraId="295EA5F0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2 — Older, High Expense, Moderate Risk (P2, P5): </w:t>
      </w:r>
      <w:r>
        <w:rPr>
          <w:rFonts w:ascii="Calibri" w:hAnsi="Calibri"/>
          <w:color w:val="282828"/>
        </w:rPr>
        <w:t>Average age ~57.5, high monthly expenses ~₹26,500, risk scores 35–40. These patients likely suffer from managed chronic conditions (e.g., hypertension, arthritis) requiring continuous medication. Decision-Making: Optimize chronic disease management, pharmacy bulk subsidies, home delivery of maintenance medications, and specialized geriatric care coordination.</w:t>
      </w:r>
    </w:p>
    <w:p w14:paraId="2F10B79D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3 — Middle-Aged, High Risk, Moderate-to-High Expense (P3): </w:t>
      </w:r>
      <w:r>
        <w:rPr>
          <w:rFonts w:ascii="Calibri" w:hAnsi="Calibri"/>
          <w:color w:val="282828"/>
        </w:rPr>
        <w:t>Age 42, expenses ₹20,000, risk score 75 (highest risk). This patient represents an acute/critical vulnerability. Decision-Making: Immediate clinical intervention, personalized specialist care, dedicated nursing support, and intensive monitoring to mitigate immediate catastrophic medical emergencies.</w:t>
      </w:r>
    </w:p>
    <w:p w14:paraId="2F60CA31" w14:textId="77777777" w:rsidR="00E01953" w:rsidRDefault="0042447E">
      <w:pPr>
        <w:keepNext/>
        <w:spacing w:before="280" w:after="120"/>
      </w:pPr>
      <w:r>
        <w:rPr>
          <w:rFonts w:ascii="Calibri" w:hAnsi="Calibri"/>
          <w:b/>
          <w:color w:val="182B49"/>
          <w:sz w:val="30"/>
        </w:rPr>
        <w:t xml:space="preserve">Question 2: E-Commerce Order Analysis </w:t>
      </w:r>
    </w:p>
    <w:p w14:paraId="2F399092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2.1 Dataset &amp; Order Characteristics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1953" w14:paraId="6F7A5575" w14:textId="77777777">
        <w:trPr>
          <w:jc w:val="center"/>
        </w:trPr>
        <w:tc>
          <w:tcPr>
            <w:tcW w:w="312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F18D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Order ID</w:t>
            </w:r>
          </w:p>
        </w:tc>
        <w:tc>
          <w:tcPr>
            <w:tcW w:w="312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9720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Product Category</w:t>
            </w:r>
          </w:p>
        </w:tc>
        <w:tc>
          <w:tcPr>
            <w:tcW w:w="312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657E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Order Value (₹)</w:t>
            </w:r>
          </w:p>
        </w:tc>
      </w:tr>
      <w:tr w:rsidR="00E01953" w14:paraId="6D3C9ABE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5CA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O1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ED01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Electronics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13E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55,000</w:t>
            </w:r>
          </w:p>
        </w:tc>
      </w:tr>
      <w:tr w:rsidR="00E01953" w14:paraId="2E35EBC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5C7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1B3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Clothing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12F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25,000</w:t>
            </w:r>
          </w:p>
        </w:tc>
      </w:tr>
      <w:tr w:rsidR="00E01953" w14:paraId="63BCCD4F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735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O3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5521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Electronics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C27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57,000</w:t>
            </w:r>
          </w:p>
        </w:tc>
      </w:tr>
      <w:tr w:rsidR="00E01953" w14:paraId="5DEC2D3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4DBA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C65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Furniture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D56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30,000</w:t>
            </w:r>
          </w:p>
        </w:tc>
      </w:tr>
      <w:tr w:rsidR="00E01953" w14:paraId="7AB96D9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1596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O5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FD9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Clothing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C15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27,000</w:t>
            </w:r>
          </w:p>
        </w:tc>
      </w:tr>
    </w:tbl>
    <w:p w14:paraId="36ADE491" w14:textId="77777777" w:rsidR="00E01953" w:rsidRDefault="00E01953">
      <w:pPr>
        <w:spacing w:after="120"/>
      </w:pPr>
    </w:p>
    <w:p w14:paraId="482656AF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2.2 Hierarchical Clustering &amp; Dendrogram Interpretation</w:t>
      </w:r>
    </w:p>
    <w:p w14:paraId="01D84069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Hierarchical Merging Process: </w:t>
      </w:r>
      <w:r>
        <w:rPr>
          <w:rFonts w:ascii="Calibri" w:hAnsi="Calibri"/>
          <w:color w:val="282828"/>
        </w:rPr>
        <w:t>Agglomerative Hierarchical Clustering builds a bottom-up tree (dendrogram) by iteratively merging the most similar orders based on both categorical compatibility and numerical proximity (Order Value in ₹):</w:t>
      </w:r>
    </w:p>
    <w:p w14:paraId="602B9E89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Step 1 (First Merge): </w:t>
      </w:r>
      <w:r>
        <w:rPr>
          <w:rFonts w:ascii="Calibri" w:hAnsi="Calibri"/>
          <w:color w:val="282828"/>
        </w:rPr>
        <w:t>Orders O2 (Clothing, ₹25,000) and O5 (Clothing, ₹27,000) are merged first at the lowest vertical distance (ΔValue = ₹2,000, identical category).</w:t>
      </w:r>
    </w:p>
    <w:p w14:paraId="046DD5ED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Step 2 (Second Merge): </w:t>
      </w:r>
      <w:r>
        <w:rPr>
          <w:rFonts w:ascii="Calibri" w:hAnsi="Calibri"/>
          <w:color w:val="282828"/>
        </w:rPr>
        <w:t>Orders O1 (Electronics, ₹55,000) and O3 (Electronics, ₹57,000) are merged next at a small distance (ΔValue = ₹2,000, identical category).</w:t>
      </w:r>
    </w:p>
    <w:p w14:paraId="04B49BA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Step 3 (Third Merge / Sub-Branch): </w:t>
      </w:r>
      <w:r>
        <w:rPr>
          <w:rFonts w:ascii="Calibri" w:hAnsi="Calibri"/>
          <w:color w:val="282828"/>
        </w:rPr>
        <w:t>Order O4 (Furniture, ₹30,000) is close in order value to the {O2, O5} group (distance ~₹4,000 from mean), forming a broader mid-value tier or remaining an independent category branch.</w:t>
      </w:r>
    </w:p>
    <w:p w14:paraId="1FC3EBC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Step 4 (Final Merge): </w:t>
      </w:r>
      <w:r>
        <w:rPr>
          <w:rFonts w:ascii="Calibri" w:hAnsi="Calibri"/>
          <w:color w:val="282828"/>
        </w:rPr>
        <w:t>The high-value cluster {O1, O3} merges with the lower/mid-value cluster {O2, O4, O5} at a very high vertical threshold (distance &gt; ₹25,000).</w:t>
      </w:r>
    </w:p>
    <w:p w14:paraId="3A38D4CF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Optimal Number of Clusters: </w:t>
      </w:r>
      <w:r>
        <w:rPr>
          <w:rFonts w:ascii="Calibri" w:hAnsi="Calibri"/>
          <w:color w:val="282828"/>
        </w:rPr>
        <w:t>By cutting the dendrogram horizontally across the longest vertical branches (where distance jump is maximum between ₹30,000 and ₹55,000), the optimal number of clusters is identified as either K = 2 (Macro-segmentation by Value Tier) or K = 3 (Domain-specific Segmentation by Category &amp; Value).</w:t>
      </w:r>
    </w:p>
    <w:p w14:paraId="3148E6C9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2.3 Significance in Customer Purchasing Behavior</w:t>
      </w:r>
    </w:p>
    <w:p w14:paraId="54CA81D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A — High-Ticket Tech Consumers {O1, O3}: </w:t>
      </w:r>
      <w:r>
        <w:rPr>
          <w:rFonts w:ascii="Calibri" w:hAnsi="Calibri"/>
          <w:color w:val="282828"/>
        </w:rPr>
        <w:t>Customers purchasing high-value Electronics (₹55k–₹57k). Behavior: High spending capacity, deliberate planned purchases, sensitivity to warranties, tech specifications, and flexible financing/EMI options. Marketing strategy should emphasize extended warranty, premium customer support, and cross-selling premium accessories.</w:t>
      </w:r>
    </w:p>
    <w:p w14:paraId="77E3E041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B — Moderate-Value Lifestyle / Apparel Shoppers {O2, O5}: </w:t>
      </w:r>
      <w:r>
        <w:rPr>
          <w:rFonts w:ascii="Calibri" w:hAnsi="Calibri"/>
          <w:color w:val="282828"/>
        </w:rPr>
        <w:t>Customers buying Clothing (₹25k–₹27k). Behavior: Frequent, trend-driven, seasonal repeat buyers. Marketing strategy should involve loyalty reward points, seasonal discount bundles, dynamic recommendation engines, and flash sales.</w:t>
      </w:r>
    </w:p>
    <w:p w14:paraId="7C1F24EE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Cluster C — Mid-Tier Home &amp; Living Segment {O4}: </w:t>
      </w:r>
      <w:r>
        <w:rPr>
          <w:rFonts w:ascii="Calibri" w:hAnsi="Calibri"/>
          <w:color w:val="282828"/>
        </w:rPr>
        <w:t>Customer buying Furniture (₹30k). Behavior: Semi-frequent, home-improvement intent, heavy focus on product durability, reviews, and delivery logistics.</w:t>
      </w:r>
    </w:p>
    <w:p w14:paraId="51D8C050" w14:textId="77777777" w:rsidR="00E01953" w:rsidRDefault="0042447E">
      <w:pPr>
        <w:keepNext/>
        <w:spacing w:before="280" w:after="120"/>
      </w:pPr>
      <w:r>
        <w:rPr>
          <w:rFonts w:ascii="Calibri" w:hAnsi="Calibri"/>
          <w:b/>
          <w:color w:val="182B49"/>
          <w:sz w:val="30"/>
        </w:rPr>
        <w:t xml:space="preserve">Question 3: Mobile App User Behavior </w:t>
      </w:r>
    </w:p>
    <w:p w14:paraId="03568EAA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3.1 Dataset &amp; Feature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1953" w14:paraId="27688D27" w14:textId="77777777">
        <w:trPr>
          <w:jc w:val="center"/>
        </w:trPr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BBD1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ID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1346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Daily Usage Time (min)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2FCE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Login Frequency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E7B3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In-App Purchase (₹)</w:t>
            </w:r>
          </w:p>
        </w:tc>
      </w:tr>
      <w:tr w:rsidR="00E01953" w14:paraId="4E7C35E8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E3D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U1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89D1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120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D5F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4F2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2,000</w:t>
            </w:r>
          </w:p>
        </w:tc>
      </w:tr>
      <w:tr w:rsidR="00E01953" w14:paraId="46D29703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E6D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U2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8C9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9F5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141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5,000</w:t>
            </w:r>
          </w:p>
        </w:tc>
      </w:tr>
      <w:tr w:rsidR="00E01953" w14:paraId="0085F3C9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341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U3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522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140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9F0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22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B41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1,500</w:t>
            </w:r>
          </w:p>
        </w:tc>
      </w:tr>
      <w:tr w:rsidR="00E01953" w14:paraId="320A7722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0B2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U4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E78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5EF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588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6,000</w:t>
            </w:r>
          </w:p>
        </w:tc>
      </w:tr>
      <w:tr w:rsidR="00E01953" w14:paraId="30AEA1D1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1464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U5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244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130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C3D6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AEE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1,800</w:t>
            </w:r>
          </w:p>
        </w:tc>
      </w:tr>
    </w:tbl>
    <w:p w14:paraId="36828B9E" w14:textId="77777777" w:rsidR="00E01953" w:rsidRDefault="00E01953">
      <w:pPr>
        <w:spacing w:after="120"/>
      </w:pPr>
    </w:p>
    <w:p w14:paraId="49330B2F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3.2 Probability-Based Membership Assignment</w:t>
      </w:r>
    </w:p>
    <w:p w14:paraId="4640DB4C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Soft Membership Mechanics: </w:t>
      </w:r>
      <w:r>
        <w:rPr>
          <w:rFonts w:ascii="Calibri" w:hAnsi="Calibri"/>
          <w:color w:val="282828"/>
        </w:rPr>
        <w:t>While standard Hierarchical Agglomerative Clustering (HAC) performs deterministic hard clustering, integrating probability-based soft clustering (such as Gaussian Mixture Models or Fuzzy C-Means) assigns each user a continuous membership vector [P(C1), P(C2), ..., P(Ck)] such that Σ P(Ci) = 1.</w:t>
      </w:r>
    </w:p>
    <w:p w14:paraId="4129C88D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Segment 1 — Highly Engaged Gamers/Browsers: </w:t>
      </w:r>
      <w:r>
        <w:rPr>
          <w:rFonts w:ascii="Calibri" w:hAnsi="Calibri"/>
          <w:color w:val="282828"/>
        </w:rPr>
        <w:t>Characterized by high daily usage (120–140 min), high login frequency (18–22 times/day), but low in-app spend (₹1,500–₹2,000). Users U1, U3, and U5 exhibit high membership in this cluster (e.g., U3: P(High-Engagement)=0.92, P(Whale)=0.08).</w:t>
      </w:r>
    </w:p>
    <w:p w14:paraId="7AFFB02C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Segment 2 — High-Spending 'Whales' / Monetized Users: </w:t>
      </w:r>
      <w:r>
        <w:rPr>
          <w:rFonts w:ascii="Calibri" w:hAnsi="Calibri"/>
          <w:color w:val="282828"/>
        </w:rPr>
        <w:t>Characterized by lower screen time (50–60 min) and low logins (4–5 times/day), but high in-app purchases (₹5,000–₹6,000). Users U2 and U4 dominate this cluster (e.g., U4: P(Whale)=0.95, P(High-Engagement)=0.05).</w:t>
      </w:r>
    </w:p>
    <w:p w14:paraId="3E1677DA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Boundary / Hybrid Cases: </w:t>
      </w:r>
      <w:r>
        <w:rPr>
          <w:rFonts w:ascii="Calibri" w:hAnsi="Calibri"/>
          <w:color w:val="282828"/>
        </w:rPr>
        <w:t>If a user displays 90 min usage and ₹3,500 spend, soft clustering captures their dual nature (e.g., 50% Engagement, 50% Monetization), avoiding artificial misclassification.</w:t>
      </w:r>
    </w:p>
    <w:p w14:paraId="7F00C760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3.3 Advantages of Soft Clustering over Hard Clustering</w:t>
      </w:r>
    </w:p>
    <w:p w14:paraId="5BED9E44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1. Capturing Real-World Behavioral Overlap: </w:t>
      </w:r>
      <w:r>
        <w:rPr>
          <w:rFonts w:ascii="Calibri" w:hAnsi="Calibri"/>
          <w:color w:val="282828"/>
        </w:rPr>
        <w:t>Consumer behavior is multi-dimensional. A gamer can be highly engaged during weekends and a high-spender during event sales. Hard clustering forces binary labels, losing nuanced behavioral signals.</w:t>
      </w:r>
    </w:p>
    <w:p w14:paraId="45DD823A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2. Targeted Multi-Channel Monetization: </w:t>
      </w:r>
      <w:r>
        <w:rPr>
          <w:rFonts w:ascii="Calibri" w:hAnsi="Calibri"/>
          <w:color w:val="282828"/>
        </w:rPr>
        <w:t>Instead of treating users rigidly, the marketing team can deliver personalized hybrid campaigns — e.g., showing rewarded video ads to users with high engagement scores while serving limited-time discount bundles to users showing growing purchase probability.</w:t>
      </w:r>
    </w:p>
    <w:p w14:paraId="5DD9B7A5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3. Early Detection of Behavioral Transitions (Churn/Conversion): </w:t>
      </w:r>
      <w:r>
        <w:rPr>
          <w:rFonts w:ascii="Calibri" w:hAnsi="Calibri"/>
          <w:color w:val="282828"/>
        </w:rPr>
        <w:t>Tracking shifts in continuous membership probabilities over time enables early warning systems. A drop in P(Engaged) from 0.85 to 0.40 flags churn risk weeks before the user becomes completely inactive.</w:t>
      </w:r>
    </w:p>
    <w:p w14:paraId="0467273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4. Enhanced Granularity for Recommendation Engines: </w:t>
      </w:r>
      <w:r>
        <w:rPr>
          <w:rFonts w:ascii="Calibri" w:hAnsi="Calibri"/>
          <w:color w:val="282828"/>
        </w:rPr>
        <w:t>Probabilistic weights directly feed into collaborative filtering and recommendation engines, resulting in higher conversion rates than rigid hard cluster partitions.</w:t>
      </w:r>
    </w:p>
    <w:p w14:paraId="0457F62C" w14:textId="77777777" w:rsidR="00E01953" w:rsidRDefault="0042447E">
      <w:pPr>
        <w:keepNext/>
        <w:spacing w:before="280" w:after="120"/>
      </w:pPr>
      <w:r>
        <w:rPr>
          <w:rFonts w:ascii="Calibri" w:hAnsi="Calibri"/>
          <w:b/>
          <w:color w:val="182B49"/>
          <w:sz w:val="30"/>
        </w:rPr>
        <w:t xml:space="preserve">Question 4: Agricultural Crop Monitoring </w:t>
      </w:r>
    </w:p>
    <w:p w14:paraId="3D8BA843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4.1 Dataset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1953" w14:paraId="05EA50BF" w14:textId="77777777">
        <w:trPr>
          <w:jc w:val="center"/>
        </w:trPr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E79C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Farm ID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A46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Rainfall (mm)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B7AA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Soil Fertility Score (1-10)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AC22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Crop Yield (tons)</w:t>
            </w:r>
          </w:p>
        </w:tc>
      </w:tr>
      <w:tr w:rsidR="00E01953" w14:paraId="31A41E02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724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F1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AF5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8AD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5BC4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85</w:t>
            </w:r>
          </w:p>
        </w:tc>
      </w:tr>
      <w:tr w:rsidR="00E01953" w14:paraId="13E403D9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083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2FD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7A1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A50F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70</w:t>
            </w:r>
          </w:p>
        </w:tc>
      </w:tr>
      <w:tr w:rsidR="00E01953" w14:paraId="34F9598F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55A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B06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400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4D9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2161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80</w:t>
            </w:r>
          </w:p>
        </w:tc>
      </w:tr>
      <w:tr w:rsidR="00E01953" w14:paraId="519FDAA9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9C3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C41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280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7A5A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99E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90</w:t>
            </w:r>
          </w:p>
        </w:tc>
      </w:tr>
      <w:tr w:rsidR="00E01953" w14:paraId="40D1D965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5CC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F5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76B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520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F8A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80F4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65</w:t>
            </w:r>
          </w:p>
        </w:tc>
      </w:tr>
    </w:tbl>
    <w:p w14:paraId="4D8DDFD7" w14:textId="77777777" w:rsidR="00E01953" w:rsidRDefault="00E01953">
      <w:pPr>
        <w:spacing w:after="120"/>
      </w:pPr>
    </w:p>
    <w:p w14:paraId="56D12760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4.2 Impact of Feature Scale &amp; Normalization on Clustering</w:t>
      </w:r>
    </w:p>
    <w:p w14:paraId="30E079C6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Mathematical Mechanism of Scale Bias: </w:t>
      </w:r>
      <w:r>
        <w:rPr>
          <w:rFonts w:ascii="Calibri" w:hAnsi="Calibri"/>
          <w:color w:val="282828"/>
        </w:rPr>
        <w:t>In distance-based clustering algorithms (such as K-Means or Agglomerative Hierarchical Clustering using Euclidean distance d = √[Σ(xi - yi)²]), the scale of individual features drastically dictates cluster formation.</w:t>
      </w:r>
    </w:p>
    <w:p w14:paraId="2EAC69FC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Raw Data Analysis (Before Normalization): </w:t>
      </w:r>
      <w:r>
        <w:rPr>
          <w:rFonts w:ascii="Calibri" w:hAnsi="Calibri"/>
          <w:color w:val="282828"/>
        </w:rPr>
        <w:t>Rainfall ranges from 280 mm to 520 mm (variance ~ 11,000+), Crop Yield ranges from 65 to 90 tons (variance ~ 100), while Soil Fertility Score ranges only from 3 to 9 (variance ~ 6.5). Because Euclidean distance computes squared differences, a 200 mm difference in rainfall contributes (200)² = 40,000 to the distance, completely dwarfing a 6-point difference in Soil Fertility (6² = 36).</w:t>
      </w:r>
    </w:p>
    <w:p w14:paraId="276AC636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Consequence Without Normalization: </w:t>
      </w:r>
      <w:r>
        <w:rPr>
          <w:rFonts w:ascii="Calibri" w:hAnsi="Calibri"/>
          <w:color w:val="282828"/>
        </w:rPr>
        <w:t>The algorithm effectively ignores Soil Fertility and Crop Yield, clustering farms solely by rainfall volume. Farms F1 and F4 group together simply because both have low rainfall (~280–300 mm), while F2 and F5 group together solely due to high rainfall (~500–520 mm).</w:t>
      </w:r>
    </w:p>
    <w:p w14:paraId="4642BB0A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Post-Normalization (Min-Max or Z-Score Scaling): </w:t>
      </w:r>
      <w:r>
        <w:rPr>
          <w:rFonts w:ascii="Calibri" w:hAnsi="Calibri"/>
          <w:color w:val="282828"/>
        </w:rPr>
        <w:t>Scaling transforms all features into a uniform range [0, 1] or standard normal distribution N(0, 1). Each feature contributes equally to the distance metric, allowing the model to uncover holistic agronomic relationships — e.g., how high soil fertility (Score 9) compensates for low rainfall (280 mm) to achieve superior crop yield (90 tons).</w:t>
      </w:r>
    </w:p>
    <w:p w14:paraId="090E5C08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4.3 Importance for Agricultural Data Reliability &amp; Decision-Making</w:t>
      </w:r>
    </w:p>
    <w:p w14:paraId="06ED59E1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Accurate Agronomic Profiling: </w:t>
      </w:r>
      <w:r>
        <w:rPr>
          <w:rFonts w:ascii="Calibri" w:hAnsi="Calibri"/>
          <w:color w:val="282828"/>
        </w:rPr>
        <w:t>Enables researchers to identify optimal multi-variate conditions (e.g., fertile soil + moderate irrigation yield synergy) rather than one-dimensional weather splits.</w:t>
      </w:r>
    </w:p>
    <w:p w14:paraId="5A9DBE57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Precision Resource Allocation: </w:t>
      </w:r>
      <w:r>
        <w:rPr>
          <w:rFonts w:ascii="Calibri" w:hAnsi="Calibri"/>
          <w:color w:val="282828"/>
        </w:rPr>
        <w:t>Agricultural advisory boards can deliver customized fertilizer, seed variety, and irrigation recommendations tailored to true multi-factor land capabilities.</w:t>
      </w:r>
    </w:p>
    <w:p w14:paraId="709BF2E2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Reproducibility &amp; Algorithm Stability: </w:t>
      </w:r>
      <w:r>
        <w:rPr>
          <w:rFonts w:ascii="Calibri" w:hAnsi="Calibri"/>
          <w:color w:val="282828"/>
        </w:rPr>
        <w:t>Eliminates arbitrary measurement unit biases (e.g., changing rainfall from mm to meters or inches won't arbitrarily alter cluster boundaries).</w:t>
      </w:r>
    </w:p>
    <w:p w14:paraId="29C1BBCB" w14:textId="77777777" w:rsidR="00E01953" w:rsidRDefault="0042447E">
      <w:pPr>
        <w:keepNext/>
        <w:spacing w:before="280" w:after="120"/>
      </w:pPr>
      <w:r>
        <w:rPr>
          <w:rFonts w:ascii="Calibri" w:hAnsi="Calibri"/>
          <w:b/>
          <w:color w:val="182B49"/>
          <w:sz w:val="30"/>
        </w:rPr>
        <w:t>Question 5: Employee Performance Evaluation</w:t>
      </w:r>
    </w:p>
    <w:p w14:paraId="084E1F9C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5.1 Dataset &amp; Silhouette Score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01953" w14:paraId="207B9E12" w14:textId="77777777">
        <w:trPr>
          <w:jc w:val="center"/>
        </w:trPr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5460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Employee ID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C343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Productivity Score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B9C1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Attendance (%)</w:t>
            </w:r>
          </w:p>
        </w:tc>
        <w:tc>
          <w:tcPr>
            <w:tcW w:w="2340" w:type="dxa"/>
            <w:shd w:val="clear" w:color="auto" w:fill="182B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07D8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Skill Assessment Score</w:t>
            </w:r>
          </w:p>
        </w:tc>
      </w:tr>
      <w:tr w:rsidR="00E01953" w14:paraId="1387E4A5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DFA5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E1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A53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0F5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92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6CCE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84</w:t>
            </w:r>
          </w:p>
        </w:tc>
      </w:tr>
      <w:tr w:rsidR="00E01953" w14:paraId="7F029742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3E3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DD1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1F96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A1F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68</w:t>
            </w:r>
          </w:p>
        </w:tc>
      </w:tr>
      <w:tr w:rsidR="00E01953" w14:paraId="61D8B862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BBF6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7EF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D4B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88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6EC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72</w:t>
            </w:r>
          </w:p>
        </w:tc>
      </w:tr>
      <w:tr w:rsidR="00E01953" w14:paraId="5DBAA5B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7D9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CD1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027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65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370C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58</w:t>
            </w:r>
          </w:p>
        </w:tc>
      </w:tr>
      <w:tr w:rsidR="00E01953" w14:paraId="2D2653AF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6B7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E5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965B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93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05C2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96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E87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90</w:t>
            </w:r>
          </w:p>
        </w:tc>
      </w:tr>
    </w:tbl>
    <w:p w14:paraId="32651F5E" w14:textId="77777777" w:rsidR="00E01953" w:rsidRDefault="00E0195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1953" w14:paraId="18E9F108" w14:textId="77777777">
        <w:trPr>
          <w:jc w:val="center"/>
        </w:trPr>
        <w:tc>
          <w:tcPr>
            <w:tcW w:w="312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14DD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 Configuration</w:t>
            </w:r>
          </w:p>
        </w:tc>
        <w:tc>
          <w:tcPr>
            <w:tcW w:w="312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5992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Silhouette Score</w:t>
            </w:r>
          </w:p>
        </w:tc>
        <w:tc>
          <w:tcPr>
            <w:tcW w:w="3120" w:type="dxa"/>
            <w:shd w:val="clear" w:color="auto" w:fill="29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1678" w14:textId="77777777" w:rsidR="00E01953" w:rsidRDefault="0042447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Cluster Quality Interpretation</w:t>
            </w:r>
          </w:p>
        </w:tc>
      </w:tr>
      <w:tr w:rsidR="00E01953" w14:paraId="52D7E412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87E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2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E4D7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0.48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D4D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Moderate cohesion and separation; broad division.</w:t>
            </w:r>
          </w:p>
        </w:tc>
      </w:tr>
      <w:tr w:rsidR="00E01953" w14:paraId="6D6BF75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72D0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5B18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0.68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9723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Optimal clustering; strong cohesion and clear separation (Peak).</w:t>
            </w:r>
          </w:p>
        </w:tc>
      </w:tr>
      <w:tr w:rsidR="00E01953" w14:paraId="2D859957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9A9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K = 4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5DD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0.52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C795" w14:textId="77777777" w:rsidR="00E01953" w:rsidRDefault="0042447E">
            <w:pPr>
              <w:jc w:val="center"/>
            </w:pPr>
            <w:r>
              <w:rPr>
                <w:rFonts w:ascii="Calibri" w:hAnsi="Calibri"/>
                <w:color w:val="282828"/>
                <w:sz w:val="20"/>
              </w:rPr>
              <w:t>Declining score; unnecessary subdivision of cohesive groups.</w:t>
            </w:r>
          </w:p>
        </w:tc>
      </w:tr>
    </w:tbl>
    <w:p w14:paraId="79585BE5" w14:textId="77777777" w:rsidR="00E01953" w:rsidRDefault="00E01953">
      <w:pPr>
        <w:spacing w:after="120"/>
      </w:pPr>
    </w:p>
    <w:p w14:paraId="4DCA505C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5.2 Justification of the Most Suitable Model (K = 3)</w:t>
      </w:r>
    </w:p>
    <w:p w14:paraId="6579B01D" w14:textId="77777777" w:rsidR="00E01953" w:rsidRDefault="0042447E">
      <w:pPr>
        <w:spacing w:after="120"/>
      </w:pPr>
      <w:r>
        <w:rPr>
          <w:rFonts w:ascii="Calibri" w:hAnsi="Calibri"/>
          <w:b/>
          <w:color w:val="1E1E1E"/>
        </w:rPr>
        <w:t xml:space="preserve">Silhouette Score Evaluation: </w:t>
      </w:r>
      <w:r>
        <w:rPr>
          <w:rFonts w:ascii="Calibri" w:hAnsi="Calibri"/>
          <w:color w:val="282828"/>
        </w:rPr>
        <w:t>The Silhouette Coefficient s(i) = [b(i) - a(i)] / max[a(i), b(i)] evaluates clustering validity on a scale from -1 to +1, where a(i) is the mean intra-cluster distance and b(i) is the mean nearest-cluster distance. A higher score signifies tighter, well-isolated clusters.</w:t>
      </w:r>
    </w:p>
    <w:p w14:paraId="08662872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Quantitative Comparison: </w:t>
      </w:r>
      <w:r>
        <w:rPr>
          <w:rFonts w:ascii="Calibri" w:hAnsi="Calibri"/>
          <w:color w:val="282828"/>
        </w:rPr>
        <w:t>The model with K = 3 achieves the highest silhouette score of 0.68, significantly surpassing K = 2 (0.48) and K = 4 (0.52). A score of 0.68 falls into the 'strong cluster structure' bracket.</w:t>
      </w:r>
    </w:p>
    <w:p w14:paraId="522A6412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Data Alignment: </w:t>
      </w:r>
      <w:r>
        <w:rPr>
          <w:rFonts w:ascii="Calibri" w:hAnsi="Calibri"/>
          <w:color w:val="282828"/>
        </w:rPr>
        <w:t>Examining the dataset reveals three natural employee tiers: (1) High Performers {E1, E5} with scores 84–96 across all metrics; (2) Moderate Performers {E3} with balanced metrics around 72–88; and (3) Underperformers / Needs Support {E2, E4} with scores below 75 across the board.</w:t>
      </w:r>
    </w:p>
    <w:p w14:paraId="3F4DEB65" w14:textId="77777777" w:rsidR="00E01953" w:rsidRDefault="0042447E">
      <w:pPr>
        <w:keepNext/>
        <w:spacing w:before="200" w:after="80"/>
      </w:pPr>
      <w:r>
        <w:rPr>
          <w:rFonts w:ascii="Calibri" w:hAnsi="Calibri"/>
          <w:b/>
          <w:color w:val="294A6E"/>
          <w:sz w:val="25"/>
        </w:rPr>
        <w:t>5.3 Contribution to Effective HR Performance Evaluation &amp; Talent Management</w:t>
      </w:r>
    </w:p>
    <w:p w14:paraId="2B4C47E7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Tier 1: High Performers / Leaders {E1, E5}: </w:t>
      </w:r>
      <w:r>
        <w:rPr>
          <w:rFonts w:ascii="Calibri" w:hAnsi="Calibri"/>
          <w:color w:val="282828"/>
        </w:rPr>
        <w:t>HR Action: Fast-track leadership development programs, merit-based bonuses, stock options, and mentorship roles to retain top talent.</w:t>
      </w:r>
    </w:p>
    <w:p w14:paraId="286F23F7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Tier 2: Core Steady Contributors {E3}: </w:t>
      </w:r>
      <w:r>
        <w:rPr>
          <w:rFonts w:ascii="Calibri" w:hAnsi="Calibri"/>
          <w:color w:val="282828"/>
        </w:rPr>
        <w:t>HR Action: Skill upskilling workshops, lateral growth opportunities, and performance incentives to elevate them into top performers.</w:t>
      </w:r>
    </w:p>
    <w:p w14:paraId="4AC3734D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Tier 3: Underperformers / Development Required {E2, E4}: </w:t>
      </w:r>
      <w:r>
        <w:rPr>
          <w:rFonts w:ascii="Calibri" w:hAnsi="Calibri"/>
          <w:color w:val="282828"/>
        </w:rPr>
        <w:t>HR Action: Implement targeted Performance Improvement Plans (PIPs), root-cause absenteeism analysis, and tailored training bootcamps.</w:t>
      </w:r>
    </w:p>
    <w:p w14:paraId="472B3022" w14:textId="77777777" w:rsidR="00E01953" w:rsidRDefault="0042447E">
      <w:pPr>
        <w:pStyle w:val="ListBullet"/>
        <w:spacing w:after="80"/>
      </w:pPr>
      <w:r>
        <w:rPr>
          <w:rFonts w:ascii="Calibri" w:hAnsi="Calibri"/>
          <w:b/>
          <w:color w:val="1E1E1E"/>
        </w:rPr>
        <w:t xml:space="preserve">Objective &amp; Bias-Free Appraisal: </w:t>
      </w:r>
      <w:r>
        <w:rPr>
          <w:rFonts w:ascii="Calibri" w:hAnsi="Calibri"/>
          <w:color w:val="282828"/>
        </w:rPr>
        <w:t>Clustering standardizes employee evaluations using multi-dimensional metric validation, removing managerial subjectivity and appraisal recency bias.</w:t>
      </w:r>
    </w:p>
    <w:sectPr w:rsidR="00E019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88219">
    <w:abstractNumId w:val="8"/>
  </w:num>
  <w:num w:numId="2" w16cid:durableId="599873870">
    <w:abstractNumId w:val="6"/>
  </w:num>
  <w:num w:numId="3" w16cid:durableId="555119987">
    <w:abstractNumId w:val="5"/>
  </w:num>
  <w:num w:numId="4" w16cid:durableId="487553909">
    <w:abstractNumId w:val="4"/>
  </w:num>
  <w:num w:numId="5" w16cid:durableId="566500282">
    <w:abstractNumId w:val="7"/>
  </w:num>
  <w:num w:numId="6" w16cid:durableId="1521314308">
    <w:abstractNumId w:val="3"/>
  </w:num>
  <w:num w:numId="7" w16cid:durableId="1190031016">
    <w:abstractNumId w:val="2"/>
  </w:num>
  <w:num w:numId="8" w16cid:durableId="1433742754">
    <w:abstractNumId w:val="1"/>
  </w:num>
  <w:num w:numId="9" w16cid:durableId="105627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0F7"/>
    <w:rsid w:val="0042447E"/>
    <w:rsid w:val="00846853"/>
    <w:rsid w:val="00933C02"/>
    <w:rsid w:val="00AA1D8D"/>
    <w:rsid w:val="00B47730"/>
    <w:rsid w:val="00CB0664"/>
    <w:rsid w:val="00E019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5BA62"/>
  <w14:defaultImageDpi w14:val="300"/>
  <w15:docId w15:val="{9B330C7F-CFF4-4740-97B5-07778739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1810</Words>
  <Characters>10321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jeswanth lakkireddy</cp:lastModifiedBy>
  <cp:revision>2</cp:revision>
  <dcterms:created xsi:type="dcterms:W3CDTF">2026-08-21T03:18:00Z</dcterms:created>
  <dcterms:modified xsi:type="dcterms:W3CDTF">2026-08-21T03:18:00Z</dcterms:modified>
  <cp:category/>
</cp:coreProperties>
</file>