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Q2 – Real-Time Stock Trading</w:t>
      </w:r>
    </w:p>
    <w:p>
      <w:r>
        <w:rPr>
          <w:sz w:val="24"/>
        </w:rPr>
        <w:t>Answer:</w:t>
        <w:br/>
        <w:t>Introduction</w:t>
        <w:br/>
        <w:t>Stock trading applications execute millions of instructions every second. High CPI increases execution time and delays transactions.</w:t>
        <w:br/>
        <w:br/>
        <w:t>Fetch–Decode–Execute Cycle</w:t>
        <w:br/>
        <w:t>• Fetch instruction from memory.</w:t>
        <w:br/>
        <w:t>• Decode instruction.</w:t>
        <w:br/>
        <w:t>• Execute operation.</w:t>
        <w:br/>
        <w:t>• Store result.</w:t>
        <w:br/>
        <w:br/>
        <w:t>Impact of High CPI</w:t>
        <w:br/>
        <w:t>Execution Time = Instruction Count × CPI × Clock Cycle Time.</w:t>
        <w:br/>
        <w:t>Frequent memory access and branch instructions increase CPI.</w:t>
        <w:br/>
        <w:br/>
        <w:t>Methods to Reduce CPI</w:t>
        <w:br/>
        <w:t>• Use cache memory.</w:t>
        <w:br/>
        <w:t>• Pipeline instruction execution.</w:t>
        <w:br/>
        <w:t>• Branch prediction.</w:t>
        <w:br/>
        <w:t>• Out-of-order execution.</w:t>
        <w:br/>
        <w:t>• Faster RAM and memory hierarchy.</w:t>
        <w:br/>
        <w:br/>
        <w:t>Architectural Enhancements</w:t>
        <w:br/>
        <w:t>• Multi-core processors.</w:t>
        <w:br/>
        <w:t>• Larger cache.</w:t>
        <w:br/>
        <w:t>• Better branch predictors.</w:t>
        <w:br/>
        <w:t>• Superscalar architecture.</w:t>
        <w:br/>
        <w:br/>
        <w:t>Conclusion</w:t>
        <w:br/>
        <w:t>Reducing CPI improves CPU efficiency, increases transaction speed and minimizes delays.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