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5.pdf" ContentType="application/pdf"/>
  <Override PartName="/word/media/rId40.pdf" ContentType="application/pdf"/>
  <Override PartName="/word/media/rId44.pdf" ContentType="application/pdf"/>
  <Override PartName="/word/media/rId48.pdf" ContentType="application/pdf"/>
  <Override PartName="/word/media/rId59.pdf" ContentType="application/pdf"/>
  <Override PartName="/word/media/rId65.pdf" ContentType="application/pdf"/>
  <Override PartName="/word/media/rId5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People say what they want to know in many places that are not a search box: forum threads, question sites, video comments, reviews, support tickets, social groups. Keyword-volume tools see the fraction of that demand that reaches a search engine in a countable form, and AI answer surfaces now stand between the question and the page. User First Intelligence (UFI) is a framework built on that premise: collect what people ask across platforms, beyond the website; classify it and link it to the entities of an industry held under an ontology; keep structure, coverage and demand sources in separate roles in a knowledge graph; express user needs as executable competency questions; and score where the organization does not answer, treating the form of the answer as something to measure. An open implementation reading thirteen demand surfaces is released.</w:t>
      </w:r>
    </w:p>
    <w:p>
      <w:pPr>
        <w:pStyle w:val="BodyText"/>
      </w:pPr>
      <w:r>
        <w:t xml:space="preserve">This paper reports one deployment of a gap of the kind the framework targets, identified from one of those surfaces, and what two commercial analytics platforms recorded on it: 381 area-code pages on a large US telecommunications provider’s site, observed by both from zero. On estimated monthly visits the two differed by 25.9x, 27.1x, 10.2x and 7.5x in successive months; on ranking keywords by 2.0x; on live referring domains by 11.4x. Across twelve sections of the same domain read on one day, the ratio on estimated visits runs from 0.20x to 7.24x (0.20x to 8.89x territory-matched), with no detectable relationship to section age (Spearman −0.11, 95% interval −0.64 to +0.49) and no fixed correction factor, while the instruments agree on which section is larger in 60 of 66 pairs. Both are sound for direction. On a separate set of 37,193 reviews of 378 telecom retail locations linked to a 42,994-node taxonomy, review demand and search volume agree across top-level branches (Spearman +0.78) but barely across topics (+0.19); 14.0% of one- and two-star reviews name waiting, a complaint the taxonomy records at 12 searches a month. The scoring function is specified, not evaluated, and the full multi-surface and persona studies are registered. No causal claim is made.</w:t>
      </w:r>
    </w:p>
    <w:bookmarkEnd w:id="20"/>
    <w:bookmarkStart w:id="27" w:name="introduction"/>
    <w:p>
      <w:pPr>
        <w:pStyle w:val="Heading2"/>
      </w:pPr>
      <w:r>
        <w:t xml:space="preserve">1 Introduction</w:t>
      </w:r>
    </w:p>
    <w:p>
      <w:pPr>
        <w:pStyle w:val="FirstParagraph"/>
      </w:pPr>
      <w:r>
        <w:t xml:space="preserve">A content decision starts with a question someone asked. The place it was asked is increasingly not a search engine: it is a forum thread, a question site, a comment under a video, a product review, a support ticket, a post in a group. Keyword-volume tools observe the part of that demand that reaches a search box in a countable phrasing; Section 6 shows this deployment ranking for question forms, misspellings and non-English phrasings that carry little or no reported volume in those tools, and AI answer surfaces now sit between many questions and any page at all. User First Intelligence is a framework built on that premise: go beyond the website to where the questions are, classify and link them to the entities of an industry held under an ontology, keep the sources that establish structure, coverage and demand in separate roles so that a competitor’s coverage cannot pose as user demand, express user needs as competency questions that a knowledge graph can be asked, and score where the organization fails to answer, with the form of the answer measured rather than assumed (Figure 1). The deployment reported here was built from a gap identified through one of those surfaces, competitor keyword exports, before the framework’s other surfaces were implemented; it is a case of the kind of gap the framework targets, not a run of the framework. It also exposed the measurement problem the rest of this paper is about.</w:t>
      </w:r>
    </w:p>
    <w:p>
      <w:pPr>
        <w:pStyle w:val="BodyText"/>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uncertainty.</w:t>
      </w:r>
    </w:p>
    <w:p>
      <w:pPr>
        <w:pStyle w:val="BodyText"/>
      </w:pPr>
      <w:r>
        <w:t xml:space="preserve">The vendors do not claim otherwise in their documentation, which describes click models over estimated volumes at estimated positions. The practice treats them as counters anyway. This paper puts a number on how far two such estimates of one object can lie apart, so that the practice can state its uncertainty. For a framework whose premise is that volume tools see only part of demand, that number is not incidental: it is the size of the gap the framework’s demand layer exists to fill, and it has to be measured before the framework can be evaluated against it.</w:t>
      </w:r>
    </w:p>
    <w:bookmarkStart w:id="24"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p>
      <w:pPr>
        <w:pStyle w:val="CaptionedFigure"/>
      </w:pPr>
      <w:r>
        <w:drawing>
          <wp:inline>
            <wp:extent cx="5321300" cy="2921000"/>
            <wp:effectExtent b="0" l="0" r="0" t="0"/>
            <wp:docPr descr="Figure 1. The User First Intelligence framework. (a) The thirteen demand surfaces the released implementation reads, grouped by whether they carry a user’s own words or a tool’s reconstruction of demand; the one surface this deployment collected is marked; Section 5.7 adds a first run on business reviews.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 title="" id="22" name="Picture"/>
            <a:graphic>
              <a:graphicData uri="http://schemas.openxmlformats.org/drawingml/2006/picture">
                <pic:pic>
                  <pic:nvPicPr>
                    <pic:cNvPr descr="fig0_framework.pdf" id="23" name="Picture"/>
                    <pic:cNvPicPr>
                      <a:picLocks noChangeArrowheads="1" noChangeAspect="1"/>
                    </pic:cNvPicPr>
                  </pic:nvPicPr>
                  <pic:blipFill>
                    <a:blip r:embed="rId21"/>
                    <a:stretch>
                      <a:fillRect/>
                    </a:stretch>
                  </pic:blipFill>
                  <pic:spPr bwMode="auto">
                    <a:xfrm>
                      <a:off x="0" y="0"/>
                      <a:ext cx="5321300" cy="2921000"/>
                    </a:xfrm>
                    <a:prstGeom prst="rect">
                      <a:avLst/>
                    </a:prstGeom>
                    <a:noFill/>
                    <a:ln w="9525">
                      <a:noFill/>
                      <a:headEnd/>
                      <a:tailEnd/>
                    </a:ln>
                  </pic:spPr>
                </pic:pic>
              </a:graphicData>
            </a:graphic>
          </wp:inline>
        </w:drawing>
      </w:r>
    </w:p>
    <w:p>
      <w:pPr>
        <w:pStyle w:val="ImageCaption"/>
      </w:pPr>
      <w:r>
        <w:t xml:space="preserve">Figure 1. The User First Intelligence framework. (a) The thirteen demand surfaces the released implementation reads, grouped by whether they carry a user’s own words or a tool’s reconstruction of demand; the one surface this deployment collected is marked; Section 5.7 adds a first run on business reviews.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w:t>
      </w:r>
    </w:p>
    <w:bookmarkEnd w:id="24"/>
    <w:bookmarkStart w:id="25" w:name="what-this-paper-reports"/>
    <w:p>
      <w:pPr>
        <w:pStyle w:val="Heading3"/>
      </w:pPr>
      <w:r>
        <w:t xml:space="preserve">1.2 What this paper reports</w:t>
      </w:r>
    </w:p>
    <w:p>
      <w:pPr>
        <w:numPr>
          <w:ilvl w:val="0"/>
          <w:numId w:val="1001"/>
        </w:numPr>
        <w:pStyle w:val="Compact"/>
      </w:pPr>
      <w:r>
        <w:rPr>
          <w:bCs/>
          <w:b/>
        </w:rPr>
        <w:t xml:space="preserve">The User First Intelligence framework</w:t>
      </w:r>
      <w:r>
        <w:t xml:space="preserve"> </w:t>
      </w:r>
      <w:r>
        <w:t xml:space="preserve">(Figure 1): collecting user questions beyond the website across thirteen demand surfaces, classifying and linking them to an industry ontology, holding structure, coverage and demand as separate source roles in a knowledge graph, and scoring unanswered questions with a Content Gap Score and two competency-question metrics (schema pass rate and instance coverage); released as a specification (Appendix B) and an open implementation (Section 12). This deployment collected one of the thirteen surfaces; Section 5.7 runs the framework’s demand comparison on a second, business reviews, and the full multi-surface study is registered (Section 11).</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first test of the demand premise</w:t>
      </w:r>
      <w:r>
        <w:t xml:space="preserve"> </w:t>
      </w:r>
      <w:r>
        <w:t xml:space="preserve">on 37,193 business reviews against a 42,994-node keyword taxonomy: the two signals agree across branches and diverge across topics, most for complaints. Section 5.7.</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bookmarkEnd w:id="25"/>
    <w:bookmarkStart w:id="26"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6"/>
    <w:bookmarkEnd w:id="27"/>
    <w:bookmarkStart w:id="28"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differing from the first-party figure in level, with the two keyword-based tools below it on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Personalization and the visibility of demand.</w:t>
      </w:r>
      <w:r>
        <w:t xml:space="preserve"> </w:t>
      </w:r>
      <w:r>
        <w:t xml:space="preserve">The framework’s premise that a search box shows only part of what people ask has one documented component, one observation and one open question. Demand that never reaches a search engine in a countable phrasing is documented by the long-tail literature [Goel et al. 2010]; Section 6 adds the untested observation that the section ranks for question forms, misspellings and non-English phrasings carrying little or no reported volume. Personalization of classic web search has been measured directly: about 11.7% of Google results differed between users in a 2013 audit, with signed-in status and location the drivers and demographic attributes such as gender and age producing no substantial effect [Hannak et al. 2013]. What has not been measured is personalization of AI answer surfaces, where the answer is composed rather than ranked and the user’s stated situation enters the prompt; the behavioral evidence so far concerns clicks, not variation in the answer itself [Chapekis &amp; Lieb 2025]. Whether AI answers vary with the persona of the asker is therefore an open question this paper does not answer and Section 11 registers.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8"/>
    <w:bookmarkStart w:id="30"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9"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9"/>
    <w:bookmarkEnd w:id="30"/>
    <w:bookmarkStart w:id="34"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31"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31"/>
    <w:bookmarkStart w:id="32"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32"/>
    <w:bookmarkStart w:id="33"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3"/>
    <w:bookmarkEnd w:id="34"/>
    <w:bookmarkStart w:id="57"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8"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6" name="Picture"/>
            <a:graphic>
              <a:graphicData uri="http://schemas.openxmlformats.org/drawingml/2006/picture">
                <pic:pic>
                  <pic:nvPicPr>
                    <pic:cNvPr descr="fig1_divergence.pdf" id="37" name="Picture"/>
                    <pic:cNvPicPr>
                      <a:picLocks noChangeArrowheads="1" noChangeAspect="1"/>
                    </pic:cNvPicPr>
                  </pic:nvPicPr>
                  <pic:blipFill>
                    <a:blip r:embed="rId35"/>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2.</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8"/>
    <w:bookmarkStart w:id="39"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9"/>
    <w:bookmarkStart w:id="43"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41" name="Picture"/>
            <a:graphic>
              <a:graphicData uri="http://schemas.openxmlformats.org/drawingml/2006/picture">
                <pic:pic>
                  <pic:nvPicPr>
                    <pic:cNvPr descr="fig2_aio.pdf" id="42" name="Picture"/>
                    <pic:cNvPicPr>
                      <a:picLocks noChangeArrowheads="1" noChangeAspect="1"/>
                    </pic:cNvPicPr>
                  </pic:nvPicPr>
                  <pic:blipFill>
                    <a:blip r:embed="rId40"/>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3b).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3"/>
    <w:bookmarkStart w:id="47"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4. Composition of live referring domains to the prefix by top-level domain, as reported by each instrument on 11 October 2026. Ahrefs: 913 domains; Semrush Backlink Analytics: 80 domains, of which the instrument reports 75% on .xyz and does not break down the remainder." title="" id="45" name="Picture"/>
            <a:graphic>
              <a:graphicData uri="http://schemas.openxmlformats.org/drawingml/2006/picture">
                <pic:pic>
                  <pic:nvPicPr>
                    <pic:cNvPr descr="fig3_refdomains.pdf" id="46" name="Picture"/>
                    <pic:cNvPicPr>
                      <a:picLocks noChangeArrowheads="1" noChangeAspect="1"/>
                    </pic:cNvPicPr>
                  </pic:nvPicPr>
                  <pic:blipFill>
                    <a:blip r:embed="rId44"/>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4.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4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7"/>
    <w:bookmarkStart w:id="51"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and keyword counts are the 12 October reads and differ slightly from Sections 5.2 and 5.4’s 10–11 October reads (29,000 and 58,586 keywords;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81.4%</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69.6%</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99.2%</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82.6%</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98.8%</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98.7%</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99.8%</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98.5%</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93.6%</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99.4%</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99.3%</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42.6%</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9" name="Picture"/>
            <a:graphic>
              <a:graphicData uri="http://schemas.openxmlformats.org/drawingml/2006/picture">
                <pic:pic>
                  <pic:nvPicPr>
                    <pic:cNvPr descr="fig4_prefixes.pdf" id="50" name="Picture"/>
                    <pic:cNvPicPr>
                      <a:picLocks noChangeArrowheads="1" noChangeAspect="1"/>
                    </pic:cNvPicPr>
                  </pic:nvPicPr>
                  <pic:blipFill>
                    <a:blip r:embed="rId48"/>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5),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69.6% US, from 0.75x to 1.07x; /device-compare/, 82.6% US, from 0.99x to 1.20x); /es-us/local/, at 42.6%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51"/>
    <w:bookmarkStart w:id="52"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of the two estimates lies a factor of five or more from the quantity both are estimating, and this study cannot say which. In absolute terms the bound is larger: the two readings differ by at least 13 times the smaller one. That is the whole of the inference, and it is a property of the pair, not a finding about either vendor: a reader who compares such estimates across instruments should know that on a two-month-old section they can stand a factor of five or more apart, without the comparison itself showing which is closer.</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differ by a factor of five below to nearly nine above. An effect of the size applied papers usually report is small against that. Both instruments remain the appropriate tools for ranking sections and for directional comparison; this result concerns the comparability of magnitudes across instruments, not the usefulness of either. It is also the measurement that motivates the framework in Figure 1: a content program that needs the magnitude of demand for a topic cannot read it from one volume tool alone. That the demand which never reaches a search box differs in which topics it names and in what form it takes is the framework’s hypothesis, not a consequence of this measurement, and Section 11 registers its test. Reporting both makes the range of estimates visible; reporting one does not.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52"/>
    <w:bookmarkStart w:id="56" w:name="X5fe0ed9da3ff4de516dc10d75bc0b069d3f52ad"/>
    <w:p>
      <w:pPr>
        <w:pStyle w:val="Heading3"/>
      </w:pPr>
      <w:r>
        <w:t xml:space="preserve">5.7 Two demand signals on one taxonomy: reviews against keyword volume</w:t>
      </w:r>
    </w:p>
    <w:p>
      <w:pPr>
        <w:pStyle w:val="FirstParagraph"/>
      </w:pPr>
      <w:r>
        <w:t xml:space="preserve">The framework’s premise can be tested wherever a first-party demand surface and a tool-derived one describe the same industry. A separate dataset in the same industry allows a first run. It holds 47,485 Google reviews of 378 retail locations of major US telecom carriers, obtained through DataForSEO under its licence and exported on 8 September 2026, of which 37,193 carry text; and a 42,994-node telecom taxonomy built by the author’s clustering engine from 1,898,584 keywords, each node carrying DataForSEO monthly search volume. Reviewer names were discarded before analysis and only per-label counts are reported. Reviews were linked to taxonomy labels with the released exact-match linker (</w:t>
      </w:r>
      <w:r>
        <w:rPr>
          <w:rStyle w:val="VerbatimChar"/>
        </w:rPr>
        <w:t xml:space="preserve">TokenLinker</w:t>
      </w:r>
      <w:r>
        <w:t xml:space="preserve">), so every attribution is auditable from the label. The taxonomy repeats generic labels under many parents, so a label is one linking unit and its volume is the sum over the nodes that carry it. Of the 37,193 reviews, 20,663 (55.6%) linked to at least one of 27,817 linkable labels, at 2.25 labels per linked review, and 1,008 labels were mentioned at least once.</w:t>
      </w:r>
    </w:p>
    <w:p>
      <w:pPr>
        <w:pStyle w:val="BodyText"/>
      </w:pPr>
      <w:r>
        <w:t xml:space="preserve">At the level of the taxonomy’s 17 top-level branches the two signals agree: the share of review mentions and the share of search volume have a rank correlation of +0.78 (p &lt; 0.001; Figure 6b). At the level of topics they barely do. Across the 1,008 labels the rank correlation between review mentions and monthly volume is +0.19 (Kendall’s tau +0.13), +0.28 among the 213 labels with at least twenty mentions, and +0.16 (p = 0.10) among the 106 labels mentioned at least twenty times in one- and two-star reviews (Figure 6a). Of the 1,008 labels, 367 (36.4%) carry under 1,000 monthly searches and 106 (10.5%) carry none. Reviews concentrate on carriers and the store experience, 73.0% of mentions against 29.4% of search volume; broadband is 18.8% of search volume and 0.7% of mentions.</w:t>
      </w:r>
    </w:p>
    <w:p>
      <w:pPr>
        <w:pStyle w:val="BodyText"/>
      </w:pPr>
      <w:r>
        <w:t xml:space="preserve">The complaint the author’s practice had identified is the cleanest case. Of 6,620 one- and two-star reviews, 924 (14.0%) mention waiting, against 1.9% of five-star reviews; the taxonomy built from 1.9 million keywords holds one label containing</w:t>
      </w:r>
      <w:r>
        <w:t xml:space="preserve"> </w:t>
      </w:r>
      <w:r>
        <w:t xml:space="preserve">“</w:t>
      </w:r>
      <w:r>
        <w:t xml:space="preserve">wait</w:t>
      </w:r>
      <w:r>
        <w:t xml:space="preserve">”</w:t>
      </w:r>
      <w:r>
        <w:t xml:space="preserve">, at 12 searches a month. The pain point most often named by unhappy customers is close to invisible to the volume tool, and what it calls for is a product or service change, such as appointment booking or digital check-in, rather than a page.</w:t>
      </w:r>
    </w:p>
    <w:p>
      <w:pPr>
        <w:pStyle w:val="CaptionedFigure"/>
      </w:pPr>
      <w:r>
        <w:drawing>
          <wp:inline>
            <wp:extent cx="5334000" cy="2280104"/>
            <wp:effectExtent b="0" l="0" r="0" t="0"/>
            <wp:docPr descr="Figure 6. First-party demand against tool-derived demand on one industry taxonomy: 37,193 Google reviews of 378 retail locations of major US telecom carriers, linked to a 42,994-node taxonomy carrying vendor monthly search volume (both sourced through DataForSEO). (a) Each marker is one of the 1,008 taxonomy labels mentioned in at least one review; filled squares carry zero reported volume. (b) Share of review mentions against share of search volume for the nine largest of the 17 top-level branches. Only aggregate counts are shown." title="" id="54" name="Picture"/>
            <a:graphic>
              <a:graphicData uri="http://schemas.openxmlformats.org/drawingml/2006/picture">
                <pic:pic>
                  <pic:nvPicPr>
                    <pic:cNvPr descr="fig9_reviews.pdf" id="55" name="Picture"/>
                    <pic:cNvPicPr>
                      <a:picLocks noChangeArrowheads="1" noChangeAspect="1"/>
                    </pic:cNvPicPr>
                  </pic:nvPicPr>
                  <pic:blipFill>
                    <a:blip r:embed="rId53"/>
                    <a:stretch>
                      <a:fillRect/>
                    </a:stretch>
                  </pic:blipFill>
                  <pic:spPr bwMode="auto">
                    <a:xfrm>
                      <a:off x="0" y="0"/>
                      <a:ext cx="5334000" cy="2280104"/>
                    </a:xfrm>
                    <a:prstGeom prst="rect">
                      <a:avLst/>
                    </a:prstGeom>
                    <a:noFill/>
                    <a:ln w="9525">
                      <a:noFill/>
                      <a:headEnd/>
                      <a:tailEnd/>
                    </a:ln>
                  </pic:spPr>
                </pic:pic>
              </a:graphicData>
            </a:graphic>
          </wp:inline>
        </w:drawing>
      </w:r>
    </w:p>
    <w:p>
      <w:pPr>
        <w:pStyle w:val="ImageCaption"/>
      </w:pPr>
      <w:r>
        <w:t xml:space="preserve">Figure 6. First-party demand against tool-derived demand on one industry taxonomy: 37,193 Google reviews of 378 retail locations of major US telecom carriers, linked to a 42,994-node taxonomy carrying vendor monthly search volume (both sourced through DataForSEO). (a) Each marker is one of the 1,008 taxonomy labels mentioned in at least one review; filled squares carry zero reported volume. (b) Share of review mentions against share of search volume for the nine largest of the 17 top-level branches. Only aggregate counts are shown.</w:t>
      </w:r>
    </w:p>
    <w:p>
      <w:pPr>
        <w:pStyle w:val="BodyText"/>
      </w:pPr>
      <w:r>
        <w:t xml:space="preserve">This is a first run, not the registered study. It uses one first-party surface on one platform in one industry, exact-match linking whose precision has not been hand-checked, relative review dates, and a taxonomy whose labels are themselves search phrasings, which biases the comparison toward agreement. The reviews describe store locations rather than the area-code section of Sections 5.1 to 6, so this result tests the framework’s demand premise and not the deployment. Within those limits it establishes the framework’s narrowest claim: on one industry, what people write in their own words and what a volume tool counts agree on the broad shape of demand and disagree on its topics, and the disagreement is largest for complaints.</w:t>
      </w:r>
    </w:p>
    <w:bookmarkEnd w:id="56"/>
    <w:bookmarkEnd w:id="57"/>
    <w:bookmarkStart w:id="58"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8"/>
    <w:bookmarkStart w:id="64" w:name="X18d2d2e3075991b6ea11800201c55cd659d5f2a"/>
    <w:p>
      <w:pPr>
        <w:pStyle w:val="Heading2"/>
      </w:pPr>
      <w:r>
        <w:t xml:space="preserve">7 What the answers cite, and what they do not</w:t>
      </w:r>
    </w:p>
    <w:bookmarkStart w:id="62"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7).</w:t>
      </w:r>
    </w:p>
    <w:p>
      <w:pPr>
        <w:pStyle w:val="CaptionedFigure"/>
      </w:pPr>
      <w:r>
        <w:drawing>
          <wp:inline>
            <wp:extent cx="3594100" cy="2057400"/>
            <wp:effectExtent b="0" l="0" r="0" t="0"/>
            <wp:docPr descr="Figure 7. The eight pages under the prefix most often cited in stored AI answers, Ahrefs Brand Radar, 11 October 2026. Enumerating pages (state hubs and the national hub) are solid; per-entity code pages are hatched." title="" id="60" name="Picture"/>
            <a:graphic>
              <a:graphicData uri="http://schemas.openxmlformats.org/drawingml/2006/picture">
                <pic:pic>
                  <pic:nvPicPr>
                    <pic:cNvPr descr="fig5_cited.pdf" id="61" name="Picture"/>
                    <pic:cNvPicPr>
                      <a:picLocks noChangeArrowheads="1" noChangeAspect="1"/>
                    </pic:cNvPicPr>
                  </pic:nvPicPr>
                  <pic:blipFill>
                    <a:blip r:embed="rId59"/>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7.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 This is the framework’s form question in miniature: the form in which a question is best answered is an empirical property to be measured, which is why the framework scores unanswered questions and leaves form to be tested, and why the Content Gap Score carries no form term (Appendix B).</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62"/>
    <w:bookmarkStart w:id="63"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63"/>
    <w:bookmarkEnd w:id="64"/>
    <w:bookmarkStart w:id="69"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8"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8.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66" name="Picture"/>
            <a:graphic>
              <a:graphicData uri="http://schemas.openxmlformats.org/drawingml/2006/picture">
                <pic:pic>
                  <pic:nvPicPr>
                    <pic:cNvPr descr="fig6_positions.pdf" id="67" name="Picture"/>
                    <pic:cNvPicPr>
                      <a:picLocks noChangeArrowheads="1" noChangeAspect="1"/>
                    </pic:cNvPicPr>
                  </pic:nvPicPr>
                  <pic:blipFill>
                    <a:blip r:embed="rId65"/>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8.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8).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8"/>
    <w:bookmarkEnd w:id="69"/>
    <w:bookmarkStart w:id="72" w:name="X65c2b72456955cd8a1ed6d4492e2b2bf5d03463"/>
    <w:p>
      <w:pPr>
        <w:pStyle w:val="Heading2"/>
      </w:pPr>
      <w:r>
        <w:t xml:space="preserve">9 What the deployment cost, and what it got wrong</w:t>
      </w:r>
    </w:p>
    <w:bookmarkStart w:id="70"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70"/>
    <w:bookmarkStart w:id="71"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 first-party surface: of the thirteen demand surfaces the released implementation reads (Figure 1a), only competitor keyword exports, a tool-derived surface, were linked to any entity; no forum, Q&amp;A, video, social, review or support data was. Cost: the deployment cannot show that the framework’s user-question layer did any work; that layer is specified in Appendix B, exercised in the released example on synthetic records flagged as synthetic, and untested on this deployment’s data; Section 5.7 runs the comparison on a separate review dataset.</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71"/>
    <w:bookmarkEnd w:id="72"/>
    <w:bookmarkStart w:id="73"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73"/>
    <w:bookmarkStart w:id="74"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The multi-platform demand study, which is the framework’s own test.</w:t>
      </w:r>
      <w:r>
        <w:t xml:space="preserve"> </w:t>
      </w:r>
      <w:r>
        <w:t xml:space="preserve">Section 5.7 is a first run on one surface; the registered study extends it. For one enumerable class, collect user questions from the first-party surfaces in Figure 1a (forum, question site, video comments and transcripts, reviews, social groups, support tickets), link them to entities with the released linker, and compare the resulting demand distribution with the keyword-volume distribution for the same entities. The registered prediction is that the two distributions differ in both which entities carry demand and in what form the demand takes (question, comparison, how-to, video), and that the difference is largest where reported volume is smallest. The released implementation reads every surface and prints which returned rows, so a run that collected nothing cannot be reported as one that did.</w:t>
      </w:r>
    </w:p>
    <w:p>
      <w:pPr>
        <w:pStyle w:val="BodyText"/>
      </w:pPr>
      <w:r>
        <w:rPr>
          <w:bCs/>
          <w:b/>
        </w:rPr>
        <w:t xml:space="preserve">A persona study on AI answer surfaces.</w:t>
      </w:r>
      <w:r>
        <w:t xml:space="preserve"> </w:t>
      </w:r>
      <w:r>
        <w:t xml:space="preserve">The same frozen query set issued to AI answer surfaces under a small set of stated personas (for example parent, business owner, traveller), with the cited sources and the answer text compared across personas. The question is whether the answer and its citations vary with who is asking, which classic web search audits found only weakly for demographic attributes [Hannak et al. 2013] and which no audit has measured for composed answers.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74"/>
    <w:bookmarkStart w:id="75"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The demand layer ships adapters for thirteen surfaces and a coverage report that prints which surfaces returned rows. The frozen 924-query set, the parameter lock and the run manifest are committed in the repository at</w:t>
      </w:r>
      <w:r>
        <w:t xml:space="preserve"> </w:t>
      </w:r>
      <w:r>
        <w:rPr>
          <w:rStyle w:val="VerbatimChar"/>
        </w:rPr>
        <w:t xml:space="preserve">examples/nanp/out/</w:t>
      </w:r>
      <w:r>
        <w:t xml:space="preserve">, so the digests quoted in Section 11 and Appendix B resolve to released files.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 The review dataset in Section 5.7 was obtained through DataForSEO, a licensed data provider, under its terms; reviewer names were discarded before analysis, no review text is reproduced, and only per-label aggregate counts are reported.</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75"/>
    <w:bookmarkStart w:id="76" w:name="conclusion"/>
    <w:p>
      <w:pPr>
        <w:pStyle w:val="Heading2"/>
      </w:pPr>
      <w:r>
        <w:t xml:space="preserve">13 Conclusion</w:t>
      </w:r>
    </w:p>
    <w:p>
      <w:pPr>
        <w:pStyle w:val="FirstParagraph"/>
      </w:pPr>
      <w:r>
        <w:t xml:space="preserve">User First Intelligence starts from the observation that people ask most of what they want to know somewhere other than a search box, and that the tools which count search demand see only the countable part. The framework goes beyond the website to where the questions are, classifies and links them to an industry held under an ontology, keeps structure, coverage and demand in separate roles in a knowledge graph, asks that graph competency questions, and scores where the organization fails to answer, with the form of the answer treated as a property to measure rather than assume, as Section 7.1 shows in miniature. It is specified in Appendix B and released as an open implementation reading thirteen demand surfaces, with executable competency questions whose schema pass rate and instance coverage are reported separately. On 37,193 business reviews linked to a 42,994-node keyword taxonomy, what customers wrote and what the volume tool counted agreed on the broad shape of demand (+0.78 across branches) and diverged on its topics (+0.19), most for complaints: one in seven unhappy reviews named waiting, which the taxonomy records at 12 searches a month. Its scoring function is not evaluated here, and the deployment itself collected demand from one surface of the thirteen; Section 11 registers the multi-platform demand study and the persona study on AI answers that would test the framework’s two central claims, with parameters locked before any data exist.</w:t>
      </w:r>
    </w:p>
    <w:p>
      <w:pPr>
        <w:pStyle w:val="BodyText"/>
      </w:pPr>
      <w:r>
        <w:t xml:space="preserve">What the deployment measured is the reason the framework’s demand layer exists. 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estimation range it cannot bound from its own data, while a single-vendor ranking of sections is usually right in direction.</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bookmarkEnd w:id="76"/>
    <w:bookmarkStart w:id="77" w:name="references"/>
    <w:p>
      <w:pPr>
        <w:pStyle w:val="Heading2"/>
      </w:pPr>
      <w:r>
        <w:t xml:space="preserve">References</w:t>
      </w:r>
    </w:p>
    <w:p>
      <w:pPr>
        <w:pStyle w:val="FirstParagraph"/>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Hannak, A., Sapiezynski, P., Molavi Kakhki, A., Krishnamurthy, B., Lazer, D., Mislove, A., &amp; Wilson, C. (2013). Measuring personalization of web search. In</w:t>
      </w:r>
      <w:r>
        <w:t xml:space="preserve"> </w:t>
      </w:r>
      <w:r>
        <w:rPr>
          <w:iCs/>
          <w:i/>
        </w:rPr>
        <w:t xml:space="preserve">Proceedings of the 22nd International Conference on World Wide Web (WWW 2013)</w:t>
      </w:r>
      <w:r>
        <w:t xml:space="preserve"> </w:t>
      </w:r>
      <w:r>
        <w:t xml:space="preserve">(pp. 527–538). ACM.</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7"/>
    <w:bookmarkStart w:id="78"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of the two estimates lies a factor of 5.2 or more, the square root of 27.1, from the quantity both estimate;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Section 2, lessons 1 and 3 of Section 9.2, Section 11 and the conclusion were revised to state the framework’s thesis, that user demand is observed beyond the website and only partly visible to volume tools, with the instrument comparison as its motivating measurement; Figure 1 was added; a personalization paragraph and the multi-platform demand and persona studies were added; every statement about multi-platform demand and personalization is written as the framework’s design or as a registered study, because this deployment collected one demand surface of thirteen. The abstract is longer as a result. Section 5.7 and Figure 6 add a first run of the demand comparison on 37,193 business reviews sourced through DataForSEO, with reviewer names discarded and only aggregate counts reported. The organization that operates the section is no longer named; the author’s affiliation is given as KL University only.</w:t>
      </w:r>
    </w:p>
    <w:bookmarkEnd w:id="78"/>
    <w:bookmarkStart w:id="79"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35" Target="media/rId35.pdf" /><Relationship Type="http://schemas.openxmlformats.org/officeDocument/2006/relationships/image" Id="rId40" Target="media/rId40.pdf"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9" Target="media/rId59.pdf" /><Relationship Type="http://schemas.openxmlformats.org/officeDocument/2006/relationships/image" Id="rId65" Target="media/rId65.pdf" /><Relationship Type="http://schemas.openxmlformats.org/officeDocument/2006/relationships/image" Id="rId53" Target="media/rId5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2026-10-12T19:28:27Z</dcterms:created>
  <dcterms:modified xsi:type="dcterms:W3CDTF">2026-10-12T19:28:27Z</dcterms:modified>
</cp:coreProperties>
</file>

<file path=docProps/custom.xml><?xml version="1.0" encoding="utf-8"?>
<Properties xmlns="http://schemas.openxmlformats.org/officeDocument/2006/custom-properties" xmlns:vt="http://schemas.openxmlformats.org/officeDocument/2006/docPropsVTypes"/>
</file>