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df" ContentType="application/pdf"/>
  <Override PartName="/word/media/rId37.pdf" ContentType="application/pdf"/>
  <Override PartName="/word/media/rId41.pdf" ContentType="application/pdf"/>
  <Override PartName="/word/media/rId45.pdf" ContentType="application/pdf"/>
  <Override PartName="/word/media/rId52.pdf" ContentType="application/pdf"/>
  <Override PartName="/word/media/rId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 Andhra Pradesh, India</w:t>
      </w:r>
      <w:r>
        <w:t xml:space="preserve"> </w:t>
      </w:r>
      <w:r>
        <w:t xml:space="preserve">Manuscript version 4.8, 12 October 2026. Preprint, not yet peer reviewed.</w:t>
      </w:r>
    </w:p>
    <w:p>
      <w:pPr>
        <w:pStyle w:val="BodyText"/>
      </w:pPr>
      <w:r>
        <w:t xml:space="preserve">Keywords: User First Intelligence; content gap discovery; ontology; knowledge graph; competency questions;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User First Intelligence (UFI) is a framework for finding content gaps from the structure of an industry’s knowledge and the questions its users ask, rather than from keyword search volume. It organizes the industry under an ontology, populates a knowledge graph from several source classes, expresses user needs as executable competency questions, and scores gaps with a Content Gap Score; the specification and an open implementation are released. This paper reports one deployment of a gap of the kind the framework targets, and what happens when two commercial analytics platforms are pointed at the result. Applied search research runs almost entirely on such platforms and treats their outputs as measurements.</w:t>
      </w:r>
    </w:p>
    <w:p>
      <w:pPr>
        <w:pStyle w:val="BodyText"/>
      </w:pPr>
      <w:r>
        <w:t xml:space="preserve">The object is a newly published reference section on a large US telecommunications provider’s site: 381 area-code pages plus hubs, generated from a public numbering-plan registry and live from 26 July 2026. Because it did not exist before that date, two instruments observed one URL prefix from zero with no prior history to disagree about. They disagreed by more than the quantities most applied papers report: on estimated monthly visits by 25.9x, 27.1x, 10.2x and 7.5x in successive months; on ranking keywords by 2.0x; on live referring domains, read the same day, by 11.4x, with one instrument reporting 10% of those domains on .xyz and the other 75%.</w:t>
      </w:r>
    </w:p>
    <w:p>
      <w:pPr>
        <w:pStyle w:val="BodyText"/>
      </w:pPr>
      <w:r>
        <w:t xml:space="preserve">A cross-section of twelve sections of the same domain, read on both instruments on one day, shows what a single series cannot. The vendor ratio on estimated visits runs from 0.20x to 7.24x across sections of one site, with a median of 1.01 and six of twelve below one; it shows no detectable relationship with section age (Spearman −0.11, 95% interval −0.64 to +0.49); and it does not follow the keyword-universe ratio, which runs 2x to 21x in one direction throughout. The section followed for 77 days sits near one extreme. The vendors agree on which section is larger in 60 of 66 pairs; the correction factor between them is what has no fixed sign or size, so no domain-level calibration converts one vendor’s figure into the other’s.</w:t>
      </w:r>
    </w:p>
    <w:p>
      <w:pPr>
        <w:pStyle w:val="BodyText"/>
      </w:pPr>
      <w:r>
        <w:t xml:space="preserve">The divergence is the primary result because it does not depend on the author’s judgment: every reading is of a public prefix that any subscriber can re-read. The deployment series is reported as context. At day 37, the last observation before an automated link network arrived, the section held 15,830 ranking positions with nineteen referring domains; by day 77 it appeared in 17,206 stored AI answers with no editorial link, and the pages most cited were the hubs that enumerate codes rather than the pages that answer. Six enabling conditions, the deployment’s cost, and six lessons stated as its failures are given. No causal claim is made.</w:t>
      </w:r>
    </w:p>
    <w:bookmarkEnd w:id="20"/>
    <w:bookmarkStart w:id="24" w:name="introduction"/>
    <w:p>
      <w:pPr>
        <w:pStyle w:val="Heading2"/>
      </w:pPr>
      <w:r>
        <w:t xml:space="preserve">1 Introduction</w:t>
      </w:r>
    </w:p>
    <w:p>
      <w:pPr>
        <w:pStyle w:val="FirstParagraph"/>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error.</w:t>
      </w:r>
    </w:p>
    <w:p>
      <w:pPr>
        <w:pStyle w:val="BodyText"/>
      </w:pPr>
      <w:r>
        <w:t xml:space="preserve">The vendors do not claim otherwise in their documentation, which describes click models over estimated volumes at estimated positions. The practice treats them as counters anyway. This paper is an attempt to put a number on what that costs. The question matters for any framework that claims to find content worth building, including the one this paper specifies: User First Intelligence identifies gaps from an industry’s knowledge structure and its users’ questions rather than from keyword volume, and the first thing such a framework needs is an honest measurement of what happens when a gap is filled.</w:t>
      </w:r>
    </w:p>
    <w:bookmarkStart w:id="21"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for 77 days, with ranking positions captured daily and the other quantities at seven checkpoints and monthly.</w:t>
      </w:r>
    </w:p>
    <w:bookmarkEnd w:id="21"/>
    <w:bookmarkStart w:id="22" w:name="what-this-paper-reports"/>
    <w:p>
      <w:pPr>
        <w:pStyle w:val="Heading3"/>
      </w:pPr>
      <w:r>
        <w:t xml:space="preserve">1.2 What this paper reports</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empirical result, and it retracts the age hypothesis advanced in version 4.0.</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3.1 and 9.</w:t>
      </w:r>
    </w:p>
    <w:p>
      <w:pPr>
        <w:numPr>
          <w:ilvl w:val="0"/>
          <w:numId w:val="1001"/>
        </w:numPr>
        <w:pStyle w:val="Compact"/>
      </w:pPr>
      <w:r>
        <w:rPr>
          <w:bCs/>
          <w:b/>
        </w:rPr>
        <w:t xml:space="preserve">The User First Intelligence framework</w:t>
      </w:r>
      <w:r>
        <w:t xml:space="preserve">: its specification, including the Content Gap Score and two competency-question metrics (schema pass rate and instance coverage), and an open reference implementation. Appendix B and Section 12. The score’s predictive value is not evaluated here; Section 11 registers the study that would evaluate it.</w:t>
      </w:r>
    </w:p>
    <w:bookmarkEnd w:id="22"/>
    <w:bookmarkStart w:id="23"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this study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among the confounds.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The framework’s Content Gap Score was not computed when the build decision was taken, nothing here tests it, and no published study has tested whether it predicts anything. It is specified in Appendix B with a reference implementation, and it is kept out of the results so that it cannot be mistaken for one.</w:t>
      </w:r>
    </w:p>
    <w:p>
      <w:pPr>
        <w:pStyle w:val="BodyText"/>
      </w:pPr>
      <w:r>
        <w:rPr>
          <w:bCs/>
          <w:b/>
        </w:rPr>
        <w:t xml:space="preserve">No measured traffic.</w:t>
      </w:r>
      <w:r>
        <w:t xml:space="preserve"> </w:t>
      </w:r>
      <w:r>
        <w:t xml:space="preserve">No figure in this paper is a counted visit. The provider’s internal analytics were not available for this study.</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3"/>
    <w:bookmarkEnd w:id="24"/>
    <w:bookmarkStart w:id="25" w:name="related-work"/>
    <w:p>
      <w:pPr>
        <w:pStyle w:val="Heading2"/>
      </w:pPr>
      <w:r>
        <w:t xml:space="preserve">2 Related work</w:t>
      </w:r>
    </w:p>
    <w:p>
      <w:pPr>
        <w:pStyle w:val="FirstParagraph"/>
      </w:pPr>
      <w:r>
        <w:rPr>
          <w:bCs/>
          <w:b/>
        </w:rPr>
        <w:t xml:space="preserve">Search measurement and tool validity.</w:t>
      </w:r>
      <w:r>
        <w:t xml:space="preserve"> </w:t>
      </w:r>
      <w:r>
        <w:t xml:space="preserve">The validity of vendor traffic estimates has been measured mainly against first-party analytics, site by site. An agency comparison of Similarweb, Ahrefs and Semrush against Google Analytics organic visits for 25 sites found all three wrong in level, with the two keyword-based tools underestimating total traffic by 17% and 30% [Langridge 2016]. A vendor study of 1,635 sites against Google Search Console reports a median deviation of 49.5% for Ahrefs and 68.4% for Semrush, and a correlation with the first-party figure of 0.76 and 0.74 [Soulo 2022]; it is the vendor reporting on itself and on a competitor, and is cited for its design rather than its ranking. In academic work, traffic-ranking services have been compared as proxies for organizational performance [Vaughan &amp; Yang 2013], and the major top-site lists were shown to disagree with one another on most of their entries and to churn by up to half of their domains a day [Scheitle et al. 2018], which motivated a ranking built to be stable and hard to manipulate [Le Pochat et al. 2019]. Those studies compare an estimate with a ground truth across many sites, or compare lists across the whole web. This paper does neither: it has no ground truth, and it holds the site fixed. What it adds is a reading of two vendors on an object both observed from zero, and a cross-section of twelve sections of one domain on one day, which separates disagreement about a site from disagreement about a section of it.</w:t>
      </w:r>
    </w:p>
    <w:p>
      <w:pPr>
        <w:pStyle w:val="BodyText"/>
      </w:pPr>
      <w:r>
        <w:rPr>
          <w:bCs/>
          <w:b/>
        </w:rPr>
        <w:t xml:space="preserve">Comparison across non-identical universes.</w:t>
      </w:r>
      <w:r>
        <w:t xml:space="preserve"> </w:t>
      </w:r>
      <w:r>
        <w:t xml:space="preserve">Comparing two measurements computed over different underlying sets is an old problem in information retrieval evaluation. Pooled relevance judgments are incomplete, and systems that did not contribute to the pool are scored on a universe they did not help define [Zobel 1998]; measures robust to incomplete judgments were proposed for exactly that case [Buckley &amp; Voorhees 2004], and the bias a pooled universe imposes on a new system can be estimated and adjusted [Webber &amp; Park 2009]. Section 5.6 makes the same move on commercial instruments: it decomposes the visits divergence into a keyword-universe term and a per-keyword term, so that a disagreement about how much surface each vendor indexes is not read as a disagreement about traffic. Unlike a test collection, neither vendor’s universe is published, so the decomposition can be computed only at the aggregate level reported here.</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5"/>
    <w:bookmarkStart w:id="27"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never checked against the pages; fetching every page corrected both figures.</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Brand Radar’s count of 455 distinct cited pages (Section 5.3) exceeds 434 by 21; that instrument does not document how it normalizes URL variants, and the difference is reported rather than reconciled.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6"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6"/>
    <w:bookmarkEnd w:id="27"/>
    <w:bookmarkStart w:id="31"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28"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AI visibility (Semrush)</w:t>
            </w:r>
          </w:p>
        </w:tc>
        <w:tc>
          <w:tcPr/>
          <w:p>
            <w:pPr>
              <w:pStyle w:val="Compact"/>
              <w:jc w:val="left"/>
            </w:pPr>
            <w:r>
              <w:t xml:space="preserve">mentions and cited pages in the AI-visibility panel; scoped to the domain whatever subfolder is queried (Section 5.5)</w:t>
            </w:r>
          </w:p>
        </w:tc>
        <w:tc>
          <w:tcPr/>
          <w:p>
            <w:pPr>
              <w:pStyle w:val="Compact"/>
              <w:jc w:val="left"/>
            </w:pPr>
            <w:r>
              <w:t xml:space="preserve">Semrush</w:t>
            </w:r>
          </w:p>
        </w:tc>
        <w:tc>
          <w:tcPr/>
          <w:p>
            <w:pPr>
              <w:pStyle w:val="Compact"/>
              <w:jc w:val="left"/>
            </w:pPr>
            <w:r>
              <w:t xml:space="preserve">10 Oct; 12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Section age (Table 4)</w:t>
            </w:r>
          </w:p>
        </w:tc>
        <w:tc>
          <w:tcPr/>
          <w:p>
            <w:pPr>
              <w:pStyle w:val="Compact"/>
              <w:jc w:val="left"/>
            </w:pPr>
            <w:r>
              <w:t xml:space="preserve">months since the first month with organic traffic in the all-time series; left-censored at September 2015</w:t>
            </w:r>
          </w:p>
        </w:tc>
        <w:tc>
          <w:tcPr/>
          <w:p>
            <w:pPr>
              <w:pStyle w:val="Compact"/>
              <w:jc w:val="left"/>
            </w:pPr>
            <w:r>
              <w:t xml:space="preserve">Ahrefs Site Explorer, prefix mode, chart interval all</w:t>
            </w:r>
          </w:p>
        </w:tc>
        <w:tc>
          <w:tcPr/>
          <w:p>
            <w:pPr>
              <w:pStyle w:val="Compact"/>
              <w:jc w:val="left"/>
            </w:pPr>
            <w:r>
              <w:t xml:space="preserve">12 Oct 2026</w:t>
            </w:r>
          </w:p>
        </w:tc>
      </w:tr>
      <w:tr>
        <w:tc>
          <w:tcPr/>
          <w:p>
            <w:pPr>
              <w:pStyle w:val="Compact"/>
              <w:jc w:val="left"/>
            </w:pPr>
            <w:r>
              <w:t xml:space="preserve">US share (Table 4)</w:t>
            </w:r>
          </w:p>
        </w:tc>
        <w:tc>
          <w:tcPr/>
          <w:p>
            <w:pPr>
              <w:pStyle w:val="Compact"/>
              <w:jc w:val="left"/>
            </w:pPr>
            <w:r>
              <w:t xml:space="preserve">United States share of the prefix’s estimated visits, from the traffic-by-location table</w:t>
            </w:r>
          </w:p>
        </w:tc>
        <w:tc>
          <w:tcPr/>
          <w:p>
            <w:pPr>
              <w:pStyle w:val="Compact"/>
              <w:jc w:val="left"/>
            </w:pPr>
            <w:r>
              <w:t xml:space="preserve">Ahrefs Site Explorer</w:t>
            </w:r>
          </w:p>
        </w:tc>
        <w:tc>
          <w:tcPr/>
          <w:p>
            <w:pPr>
              <w:pStyle w:val="Compact"/>
              <w:jc w:val="left"/>
            </w:pPr>
            <w:r>
              <w:t xml:space="preserve">12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the subject of Section 5.</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28"/>
    <w:bookmarkStart w:id="29"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29"/>
    <w:bookmarkStart w:id="30"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day 65, that Google had changed how it serves results and that SERP data might be inconsistent from that date, which covers days 65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0"/>
    <w:bookmarkEnd w:id="31"/>
    <w:bookmarkStart w:id="50"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5"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The ratio column uses the US figure. Section 5.6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11 (77 cumulative)</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3" name="Picture"/>
            <a:graphic>
              <a:graphicData uri="http://schemas.openxmlformats.org/drawingml/2006/picture">
                <pic:pic>
                  <pic:nvPicPr>
                    <pic:cNvPr descr="fig1_divergence.pdf" id="34" name="Picture"/>
                    <pic:cNvPicPr>
                      <a:picLocks noChangeArrowheads="1" noChangeAspect="1"/>
                    </pic:cNvPicPr>
                  </pic:nvPicPr>
                  <pic:blipFill>
                    <a:blip r:embed="rId32"/>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1.</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5"/>
    <w:bookmarkStart w:id="36"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6"/>
    <w:bookmarkStart w:id="40" w:name="X3ec6c0063f72ae6644355b85d35ebdb0db18d16"/>
    <w:p>
      <w:pPr>
        <w:pStyle w:val="Heading3"/>
      </w:pPr>
      <w:r>
        <w:t xml:space="preserve">5.3 AI answers and AI Overviews: two definitions, converging</w:t>
      </w:r>
    </w:p>
    <w:p>
      <w:pPr>
        <w:pStyle w:val="FirstParagraph"/>
      </w:pPr>
      <w:r>
        <w:rPr>
          <w:bCs/>
          <w:b/>
        </w:rPr>
        <w:t xml:space="preserve">A withdrawn comparison.</w:t>
      </w:r>
      <w:r>
        <w:t xml:space="preserve"> </w:t>
      </w:r>
      <w:r>
        <w:t xml:space="preserve">Earlier versions reported a factor of 9.2 on AI answers, from Ahrefs Brand Radar’s 17,206 stored answers citing the section against Semrush’s 158,100 mentions, read on 10 October.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The claim that the two instruments disagree about platform ordering is also dropped,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 title="" id="38" name="Picture"/>
            <a:graphic>
              <a:graphicData uri="http://schemas.openxmlformats.org/drawingml/2006/picture">
                <pic:pic>
                  <pic:nvPicPr>
                    <pic:cNvPr descr="fig2_aio.pdf" id="39" name="Picture"/>
                    <pic:cNvPicPr>
                      <a:picLocks noChangeArrowheads="1" noChangeAspect="1"/>
                    </pic:cNvPicPr>
                  </pic:nvPicPr>
                  <pic:blipFill>
                    <a:blip r:embed="rId37"/>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w:t>
      </w:r>
    </w:p>
    <w:p>
      <w:pPr>
        <w:pStyle w:val="BodyText"/>
      </w:pPr>
      <w:r>
        <w:t xml:space="preserve">The ratio between the two counts falls from 2.94 to 1.34 over four months (Figure 2b). Two cautions on reading it. The comparison is between a count (b) and the numerator of a ratio (a), and the two vendors’ territories differ, so what the column measures is partly a territory difference and not purely a definitional one.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on this prefix the size of the incomparability changed over its first four months.</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It is reported because numerator and denominator come from one instrument on one date, and no trend is drawn from it.</w:t>
      </w:r>
    </w:p>
    <w:bookmarkEnd w:id="40"/>
    <w:bookmarkStart w:id="44"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3. Composition of live referring domains to the prefix by top-level domain, as reported by each instrument on 11 October 2026. Ahrefs: 913 domains; Semrush Backlink Analytics: 80 domains, of which the instrument reports 75% on .xyz and does not break down the remainder." title="" id="42" name="Picture"/>
            <a:graphic>
              <a:graphicData uri="http://schemas.openxmlformats.org/drawingml/2006/picture">
                <pic:pic>
                  <pic:nvPicPr>
                    <pic:cNvPr descr="fig3_refdomains.pdf" id="43" name="Picture"/>
                    <pic:cNvPicPr>
                      <a:picLocks noChangeArrowheads="1" noChangeAspect="1"/>
                    </pic:cNvPicPr>
                  </pic:nvPicPr>
                  <pic:blipFill>
                    <a:blip r:embed="rId41"/>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3.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3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4"/>
    <w:bookmarkStart w:id="48" w:name="Xd9b58a84cd0241a28c2550a62e74a9c530544ea"/>
    <w:p>
      <w:pPr>
        <w:pStyle w:val="Heading3"/>
      </w:pPr>
      <w:r>
        <w:t xml:space="preserve">5.5 Twelve prefixes on one domain: the divergence is prefix-specific, with no detectable relationship to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oldest age (/es-us/local/) is left-censored at that horizon and the next two lie within four months of it.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The keyword ratio is Semrush over Ahrefs, like the visits ratios; the referring-domain ratio is Ahrefs over Semrush. Referring-domain and keyword counts are the 12 October reads and differ slightly from Sections 5.2 and 5.4’s 10–11 October reads (29,000 and 58,586 keywords; 80 Semrush domains, 11.4x).</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81.4%</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69.6%</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99.2%</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82.6%</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98.8%</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98.7%</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99.8%</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98.5%</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93.6%</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99.4%</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99.3%</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42.6%</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6" name="Picture"/>
            <a:graphic>
              <a:graphicData uri="http://schemas.openxmlformats.org/drawingml/2006/picture">
                <pic:pic>
                  <pic:nvPicPr>
                    <pic:cNvPr descr="fig4_prefixes.pdf" id="47" name="Picture"/>
                    <pic:cNvPicPr>
                      <a:picLocks noChangeArrowheads="1" noChangeAspect="1"/>
                    </pic:cNvPicPr>
                  </pic:nvPicPr>
                  <pic:blipFill>
                    <a:blip r:embed="rId45"/>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Six things follow (Figure 4), and the first retracts a claim this paper made in version 4.0.</w:t>
      </w:r>
    </w:p>
    <w:p>
      <w:pPr>
        <w:pStyle w:val="BodyText"/>
      </w:pPr>
      <w:r>
        <w:rPr>
          <w:bCs/>
          <w:b/>
        </w:rPr>
        <w:t xml:space="preserve">The cross-section shows no detectable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the seven sections aged between seven and eleven years sit anywhere from 0.25x to 6.57x unmatched (0.46x to 6.61x matched).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cross one once their non-US traffic is removed (/product-compare/, 69.6% US, from 0.75x to 1.07x; /device-compare/, 82.6% US, from 0.99x to 1.20x); /es-us/local/, at 42.6% US, moves from 0.25x to 0.58x and stays below one.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on 12 October (Section 5.3 quotes the 10 October read of 158,100 and 29,600).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one prefix and close to that horizon for two more; one prefix under twenty-one months; the territory match uses each prefix’s US share as the instrument reports it. A second domain and a second read date are the next step, and neither needs this provider.</w:t>
      </w:r>
    </w:p>
    <w:bookmarkEnd w:id="48"/>
    <w:bookmarkStart w:id="49"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were not available for this study. Divergence is therefore not error.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the two readings cannot both lie within a factor of 5.2, the square root of 27.1, of the true value, so at least one instrument is off about this prefix by a factor of five or more, and this study cannot say which. In absolute terms the bound is larger: at least one reading errs by at least 13 times the smaller reading. That is the whole of the inference, and it is enough to be worth reporting: a field that treats these outputs as measurements should know that at least one major vendor can be off by a factor of five or more on a two-month-old section, without knowing which one.</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The table reports the conservative pairing; the matched ones are stated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be off by a factor of five below to nearly nine above. An effect of the size applied papers usually report is small against that. Reporting both vendors does not resolve which is right; it makes the uncertainty visible, and reporting one hides it.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up to an order of magnitude occur in both directions between sections of one site, from a factor of five below to nearly nine above, that no relationship with section age is detectable across twelve sections, only one of them under twenty-one months old, and that keyword-universe size does not predict them. What is not established is which instrument is closer to the truth for any section, or what determines the ratio. Section 11 sets out the next step: a second domain and a second read date.</w:t>
      </w:r>
    </w:p>
    <w:bookmarkEnd w:id="49"/>
    <w:bookmarkEnd w:id="50"/>
    <w:bookmarkStart w:id="51"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c>
          <w:tcPr/>
          <w:p>
            <w:pPr>
              <w:pStyle w:val="Compact"/>
              <w:jc w:val="left"/>
            </w:pPr>
            <w:r>
              <w:t xml:space="preserve">Day 77 (11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c>
          <w:tcPr/>
          <w:p>
            <w:pPr>
              <w:pStyle w:val="Compact"/>
              <w:jc w:val="left"/>
            </w:pPr>
            <w:r>
              <w:t xml:space="preserve">441</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c>
          <w:tcPr/>
          <w:p>
            <w:pPr>
              <w:pStyle w:val="Compact"/>
              <w:jc w:val="left"/>
            </w:pPr>
            <w:r>
              <w:t xml:space="preserve">43,980</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c>
          <w:tcPr/>
          <w:p>
            <w:pPr>
              <w:pStyle w:val="Compact"/>
              <w:jc w:val="left"/>
            </w:pPr>
            <w:r>
              <w:t xml:space="preserve">9,239</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c>
          <w:tcPr/>
          <w:p>
            <w:pPr>
              <w:pStyle w:val="Compact"/>
              <w:jc w:val="left"/>
            </w:pPr>
            <w:r>
              <w:t xml:space="preserve">33,560</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c>
          <w:tcPr/>
          <w:p>
            <w:pPr>
              <w:pStyle w:val="Compact"/>
              <w:jc w:val="left"/>
            </w:pPr>
            <w:r>
              <w:t xml:space="preserve">n/r</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c>
          <w:tcPr/>
          <w:p>
            <w:pPr>
              <w:pStyle w:val="Compact"/>
              <w:jc w:val="left"/>
            </w:pPr>
            <w:r>
              <w:t xml:space="preserve">n/r</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c>
          <w:tcPr/>
          <w:p>
            <w:pPr>
              <w:pStyle w:val="Compact"/>
              <w:jc w:val="left"/>
            </w:pPr>
            <w:r>
              <w:t xml:space="preserve">n/r</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c>
          <w:tcPr/>
          <w:p>
            <w:pPr>
              <w:pStyle w:val="Compact"/>
              <w:jc w:val="left"/>
            </w:pPr>
            <w:r>
              <w:t xml:space="preserve">913</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c>
          <w:tcPr/>
          <w:p>
            <w:pPr>
              <w:pStyle w:val="Compact"/>
              <w:jc w:val="left"/>
            </w:pPr>
            <w:r>
              <w:t xml:space="preserve">17,206</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 Day 77 is the last read of the series and the one the abstract and this section quote; positions 11–20 were not captured that day, so the 21–100 row cannot be derived for it, and the daily visits series was read only to day 75 (the October run-rate in Table 2 is a different construct). Its referring-domain figure is the instrument’s overview count, which differs from its daily series (Section 8).</w:t>
      </w:r>
    </w:p>
    <w:p>
      <w:pPr>
        <w:pStyle w:val="BodyText"/>
      </w:pPr>
      <w:r>
        <w:t xml:space="preserve">Day 75 falls inside the window the Ahrefs data notice covers, and day 60 is the first day of the spam update. The estimated-visits peak at day 60 coincides with that day, and the subsequent fall is consistent with either a data artifact or a ranking change; this study does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w:t>
      </w:r>
      <w:r>
        <w:t xml:space="preserve"> </w:t>
      </w:r>
      <w:r>
        <w:t xml:space="preserve">Of the 441 URLs holding a position on 11 October, the ten highest-traffic carry 22.8% of estimated visits and the top 50 carry 64.9%, both from one instrument and both on a universe selected by the outcome. Fifty of 441 is 11% of the pages carrying about two thirds of the estimated traffic, which is concentration, not breadth; an earlier claim of breadth is withdrawn (Appendix A).</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This is stated as a distributional observation and not as a test; the per-page threshold test that would make it one requires the full per-page keyword export matched to pre-launch reported volume, which has not been run.</w:t>
      </w:r>
    </w:p>
    <w:bookmarkEnd w:id="51"/>
    <w:bookmarkStart w:id="57" w:name="X18d2d2e3075991b6ea11800201c55cd659d5f2a"/>
    <w:p>
      <w:pPr>
        <w:pStyle w:val="Heading2"/>
      </w:pPr>
      <w:r>
        <w:t xml:space="preserve">7 What the answers cite, and what they do not</w:t>
      </w:r>
    </w:p>
    <w:bookmarkStart w:id="55"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5).</w:t>
      </w:r>
    </w:p>
    <w:p>
      <w:pPr>
        <w:pStyle w:val="CaptionedFigure"/>
      </w:pPr>
      <w:r>
        <w:drawing>
          <wp:inline>
            <wp:extent cx="3594100" cy="2057400"/>
            <wp:effectExtent b="0" l="0" r="0" t="0"/>
            <wp:docPr descr="Figure 5. The eight pages under the prefix most often cited in stored AI answers, Ahrefs Brand Radar, 11 October 2026. Enumerating pages (state hubs and the national hub) are solid; per-entity code pages are hatched." title="" id="53" name="Picture"/>
            <a:graphic>
              <a:graphicData uri="http://schemas.openxmlformats.org/drawingml/2006/picture">
                <pic:pic>
                  <pic:nvPicPr>
                    <pic:cNvPr descr="fig5_cited.pdf" id="54" name="Picture"/>
                    <pic:cNvPicPr>
                      <a:picLocks noChangeArrowheads="1" noChangeAspect="1"/>
                    </pic:cNvPicPr>
                  </pic:nvPicPr>
                  <pic:blipFill>
                    <a:blip r:embed="rId52"/>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5.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 should publish is not the unit the question names.</w:t>
      </w:r>
    </w:p>
    <w:p>
      <w:pPr>
        <w:pStyle w:val="BodyText"/>
      </w:pPr>
      <w:r>
        <w:t xml:space="preserve">It is an observation on one section. It is the finding in this paper most worth testing elsewhere, and testing it needs no access to this deployment: any site with both hub and per-entity pages on an enumerable class can check it.</w:t>
      </w:r>
    </w:p>
    <w:bookmarkEnd w:id="55"/>
    <w:bookmarkStart w:id="56"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other national carriers of comparable authority are co-cited 9 times (Domain Rating 91) and 240 times (Domain Rating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w:t>
      </w:r>
    </w:p>
    <w:bookmarkEnd w:id="56"/>
    <w:bookmarkEnd w:id="57"/>
    <w:bookmarkStart w:id="62"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1"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Domains gained</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18</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 to 19</w:t>
            </w:r>
          </w:p>
        </w:tc>
        <w:tc>
          <w:tcPr/>
          <w:p>
            <w:pPr>
              <w:pStyle w:val="Compact"/>
              <w:jc w:val="left"/>
            </w:pPr>
            <w:r>
              <w:t xml:space="preserve">0</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396</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 to 828</w:t>
            </w:r>
          </w:p>
        </w:tc>
        <w:tc>
          <w:tcPr/>
          <w:p>
            <w:pPr>
              <w:pStyle w:val="Compact"/>
              <w:jc w:val="left"/>
            </w:pPr>
            <w:r>
              <w:t xml:space="preserve">413</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 to 909</w:t>
            </w:r>
          </w:p>
        </w:tc>
        <w:tc>
          <w:tcPr/>
          <w:p>
            <w:pPr>
              <w:pStyle w:val="Compact"/>
              <w:jc w:val="left"/>
            </w:pPr>
            <w:r>
              <w:t xml:space="preserve">81</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 title="" id="59" name="Picture"/>
            <a:graphic>
              <a:graphicData uri="http://schemas.openxmlformats.org/drawingml/2006/picture">
                <pic:pic>
                  <pic:nvPicPr>
                    <pic:cNvPr descr="fig6_positions.pdf" id="60" name="Picture"/>
                    <pic:cNvPicPr>
                      <a:picLocks noChangeArrowheads="1" noChangeAspect="1"/>
                    </pic:cNvPicPr>
                  </pic:nvPicPr>
                  <pic:blipFill>
                    <a:blip r:embed="rId58"/>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w:t>
      </w:r>
    </w:p>
    <w:p>
      <w:pPr>
        <w:pStyle w:val="BodyText"/>
      </w:pPr>
      <w:r>
        <w:t xml:space="preserve">Of the 43,302 positions held at day 75, 15,830 (36.6%) were held at day 37 and 27,472 (63.4%) were acquired after the network began arriving (Figure 6).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Reading the 132-a-day trough immediately before the arrival as a baseline would suggest an acceleration; that baseline sits at the series minimum, and the inference does not survive showing all six intervals.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analyzes: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1"/>
    <w:bookmarkEnd w:id="62"/>
    <w:bookmarkStart w:id="65" w:name="X65c2b72456955cd8a1ed6d4492e2b2bf5d03463"/>
    <w:p>
      <w:pPr>
        <w:pStyle w:val="Heading2"/>
      </w:pPr>
      <w:r>
        <w:t xml:space="preserve">9 What the deployment cost, and what it got wrong</w:t>
      </w:r>
    </w:p>
    <w:bookmarkStart w:id="63"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 cost structure and is the part a reader should expect to pay.</w:t>
      </w:r>
    </w:p>
    <w:bookmarkEnd w:id="63"/>
    <w:bookmarkStart w:id="64"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This deployment did not, so its demand layer derives from what competitors already rank for. Cost: an evaluated method claim; the framework is specified in Appendix B, and this deployment cannot serve as its validation.</w:t>
      </w:r>
    </w:p>
    <w:p>
      <w:pPr>
        <w:numPr>
          <w:ilvl w:val="0"/>
          <w:numId w:val="1003"/>
        </w:numPr>
        <w:pStyle w:val="Compact"/>
      </w:pPr>
      <w:r>
        <w:rPr>
          <w:bCs/>
          <w:b/>
        </w:rPr>
        <w:t xml:space="preserve">Freeze the evaluation query set before launch.</w:t>
      </w:r>
      <w:r>
        <w:t xml:space="preserve"> </w:t>
      </w:r>
      <w:r>
        <w:t xml:space="preserve">This deployment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This deployment collected none: no forum, Q&amp;A, video, social or review data was linked to any entity. Cost: the deployment cannot show that the framework’s user-question layer did any work; that layer is specified in Appendix B and is untested here.</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64"/>
    <w:bookmarkEnd w:id="65"/>
    <w:bookmarkStart w:id="66" w:name="threats-to-validity"/>
    <w:p>
      <w:pPr>
        <w:pStyle w:val="Heading2"/>
      </w:pPr>
      <w:r>
        <w:t xml:space="preserve">10 Threats to validity</w:t>
      </w:r>
    </w:p>
    <w:p>
      <w:pPr>
        <w:pStyle w:val="FirstParagraph"/>
      </w:pPr>
      <w:r>
        <w:rPr>
          <w:bCs/>
          <w:b/>
        </w:rPr>
        <w:t xml:space="preserve">Instrumentation</w:t>
      </w:r>
      <w:r>
        <w:t xml:space="preserve">, which is the subject of Section 5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65 to 75. Internal analytics would resolve much of this and are not available.</w:t>
      </w:r>
    </w:p>
    <w:p>
      <w:pPr>
        <w:pStyle w:val="BodyText"/>
      </w:pPr>
      <w:r>
        <w:rPr>
          <w:bCs/>
          <w:b/>
        </w:rPr>
        <w:t xml:space="preserve">Confounding, with directions.</w:t>
      </w:r>
      <w:r>
        <w:t xml:space="preserve"> </w:t>
      </w: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estimated-visit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twelve prefixes on one domain, one of them followed for 77 days; one vendor pair; one read date for the cross-section;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66"/>
    <w:bookmarkStart w:id="67"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A second domain for Section 5.5.</w:t>
      </w:r>
      <w:r>
        <w:t xml:space="preserve"> </w:t>
      </w:r>
      <w:r>
        <w:t xml:space="preserve">The cross-section was run on one domain. The result that the vendor ratio is prefix-specific, with no detectable relationship to age, needs a second site and a second read date before it is more than an observation about one domain. Anyone with both subscriptions and any multi-section site can do it in a day; the data file released with this paper gives the read method.</w:t>
      </w:r>
    </w:p>
    <w:bookmarkEnd w:id="67"/>
    <w:bookmarkStart w:id="68"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version 0.2.0: test suite, command line interface, and a worked example that runs offline on public data. The corrected numbering-plan ontology in YAML with OWL and SHACL export, and the area-code dataset the example uses. The frozen 924-query set, the parameter lock and the run manifest are committed in the repository at</w:t>
      </w:r>
      <w:r>
        <w:t xml:space="preserve"> </w:t>
      </w:r>
      <w:r>
        <w:rPr>
          <w:rStyle w:val="VerbatimChar"/>
        </w:rPr>
        <w:t xml:space="preserve">examples/nanp/out/</w:t>
      </w:r>
      <w:r>
        <w:t xml:space="preserve">, so the digests quoted in Sections 11 and Appendix B resolve to released files.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urn:ufi:&lt;name&gt;</w:t>
      </w:r>
      <w:r>
        <w:t xml:space="preserve"> </w:t>
      </w:r>
      <w:r>
        <w:t xml:space="preserve">by default, which makes no resolution claim; no persistent namespace has been registered.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named above.</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exception is the Brand Radar answer count, which moved from 14,823 (9 October) to 17,206 (11 October) and 17,400 (12 October) as stored answers were refreshed; it is reported with its read date and is not claimed to be re-readable.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No figure in this paper is drawn from them; the cost figures in Section 9.1 are the author’s reconstruction from project records.</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analyzed.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is the single record of corrections across versions, including those that change how a figure must be read.</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 Not naming it does not make it unidentifiable: the prefixes in Table 4 and the conflict-of-interest statement in Section 10 allow a reader with access to the same instruments to identify it, and that statement is kept because the disclosure is required. The name is withheld; the identity is not claimed to be concealed.</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seven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registered in version 4.0 was performed on 12 October 2026 (Section 5.5); the within-class control registered with it was found not to exist (Section 3). A reader is entitled to weigh that the remaining undone check is the only one requiring another person’s name.</w:t>
      </w:r>
    </w:p>
    <w:bookmarkEnd w:id="68"/>
    <w:bookmarkStart w:id="69" w:name="conclusion"/>
    <w:p>
      <w:pPr>
        <w:pStyle w:val="Heading2"/>
      </w:pPr>
      <w:r>
        <w:t xml:space="preserve">13 Conclusion</w:t>
      </w:r>
    </w:p>
    <w:p>
      <w:pPr>
        <w:pStyle w:val="FirstParagraph"/>
      </w:pPr>
      <w:r>
        <w:t xml:space="preserve">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with no detectable relationship to how old each section was or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error it cannot bound from its own data.</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have begun to estimate it cannot be run on this section, because every code in the class has a page.</w:t>
      </w:r>
    </w:p>
    <w:p>
      <w:pPr>
        <w:pStyle w:val="BodyText"/>
      </w:pPr>
      <w:r>
        <w:t xml:space="preserve">The framework under which the section was built, User First Intelligence, is specified in Appendix B and released as an open implementation with executable competency questions, whose schema pass rate and instance coverage are reported separately. Its scoring function is not evaluated here. Section 11 registers the prospective study, with parameters locked before any data exist, that would test whether it identifies gaps worth building.</w:t>
      </w:r>
    </w:p>
    <w:bookmarkEnd w:id="69"/>
    <w:bookmarkStart w:id="70" w:name="references"/>
    <w:p>
      <w:pPr>
        <w:pStyle w:val="Heading2"/>
      </w:pPr>
      <w:r>
        <w:t xml:space="preserve">References</w:t>
      </w:r>
    </w:p>
    <w:p>
      <w:pPr>
        <w:pStyle w:val="FirstParagraph"/>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Buckley, C., &amp; Voorhees, E. M. (2004). Retrieval evaluation with incomplete information. In</w:t>
      </w:r>
      <w:r>
        <w:t xml:space="preserve"> </w:t>
      </w:r>
      <w:r>
        <w:rPr>
          <w:iCs/>
          <w:i/>
        </w:rPr>
        <w:t xml:space="preserve">Proceedings of the 27th Annual International ACM SIGIR Conference on Research and Development in Information Retrieval</w:t>
      </w:r>
      <w:r>
        <w:t xml:space="preserve"> </w:t>
      </w:r>
      <w:r>
        <w:t xml:space="preserve">(pp. 25–32). ACM.</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Langridge, P. (2016, June 13).</w:t>
      </w:r>
      <w:r>
        <w:t xml:space="preserve"> </w:t>
      </w:r>
      <w:r>
        <w:rPr>
          <w:iCs/>
          <w:i/>
        </w:rPr>
        <w:t xml:space="preserve">How accurate are website traffic estimators?</w:t>
      </w:r>
      <w:r>
        <w:t xml:space="preserve"> </w:t>
      </w:r>
      <w:r>
        <w:t xml:space="preserve">Screaming Frog. https://www.screamingfrog.co.uk/how-accurate-are-website-traffic-estimators/ (25 sites, February to April 2016, against Google Analytics; accessed 12 October 2026.)</w:t>
      </w:r>
    </w:p>
    <w:p>
      <w:pPr>
        <w:pStyle w:val="BodyText"/>
      </w:pPr>
      <w:r>
        <w:t xml:space="preserve">Le Pochat, V., Van Goethem, T., Tajalizadehkhoob, S., Korczyński, M., &amp; Joosen, W. (2019). Tranco: A research-oriented top sites ranking hardened against manipulation. In</w:t>
      </w:r>
      <w:r>
        <w:t xml:space="preserve"> </w:t>
      </w:r>
      <w:r>
        <w:rPr>
          <w:iCs/>
          <w:i/>
        </w:rPr>
        <w:t xml:space="preserve">Proceedings of the Network and Distributed System Security Symposium (NDSS 2019)</w:t>
      </w:r>
      <w:r>
        <w:t xml:space="preserve">. Internet Society.</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Scheitle, Q., Hohlfeld, O., Gamba, J., Jelten, J., Zimmermann, T., Strowes, S. D., &amp; Vallina-Rodriguez, N. (2018). A long way to the top: Significance, structure, and stability of Internet top lists. In</w:t>
      </w:r>
      <w:r>
        <w:t xml:space="preserve"> </w:t>
      </w:r>
      <w:r>
        <w:rPr>
          <w:iCs/>
          <w:i/>
        </w:rPr>
        <w:t xml:space="preserve">Proceedings of the Internet Measurement Conference 2018 (IMC ’18)</w:t>
      </w:r>
      <w:r>
        <w:t xml:space="preserve">. ACM.</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Soulo, T. (2022, May 3).</w:t>
      </w:r>
      <w:r>
        <w:t xml:space="preserve"> </w:t>
      </w:r>
      <w:r>
        <w:rPr>
          <w:iCs/>
          <w:i/>
        </w:rPr>
        <w:t xml:space="preserve">How accurate are the search traffic estimations in Ahrefs? (New research).</w:t>
      </w:r>
      <w:r>
        <w:t xml:space="preserve"> </w:t>
      </w:r>
      <w:r>
        <w:t xml:space="preserve">Ahrefs. https://ahrefs.com/blog/traffic-estimations-accuracy/ (1,635 sites against Google Search Console; accessed 12 October 2026.)</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Vaughan, L., &amp; Yang, R. (2013). Web traffic and organization performance measures: Relationships and data sources examined.</w:t>
      </w:r>
      <w:r>
        <w:t xml:space="preserve"> </w:t>
      </w:r>
      <w:r>
        <w:rPr>
          <w:iCs/>
          <w:i/>
        </w:rPr>
        <w:t xml:space="preserve">Journal of Informetrics, 7</w:t>
      </w:r>
      <w:r>
        <w:t xml:space="preserve">(3), 699–711.</w:t>
      </w:r>
    </w:p>
    <w:p>
      <w:pPr>
        <w:pStyle w:val="BodyText"/>
      </w:pPr>
      <w:r>
        <w:t xml:space="preserve">Webber, W., &amp; Park, L. A. F. (2009). Score adjustment for correction of pooling bias. In</w:t>
      </w:r>
      <w:r>
        <w:t xml:space="preserve"> </w:t>
      </w:r>
      <w:r>
        <w:rPr>
          <w:iCs/>
          <w:i/>
        </w:rPr>
        <w:t xml:space="preserve">Proceedings of the 32nd International ACM SIGIR Conference on Research and Development in Information Retrieval</w:t>
      </w:r>
      <w:r>
        <w:t xml:space="preserve"> </w:t>
      </w:r>
      <w:r>
        <w:t xml:space="preserve">(pp. 444–451). ACM.</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p>
      <w:pPr>
        <w:pStyle w:val="BodyText"/>
      </w:pPr>
      <w:r>
        <w:t xml:space="preserve">Zobel, J. (1998). How reliable are the results of large-scale information retrieval experiments? In</w:t>
      </w:r>
      <w:r>
        <w:t xml:space="preserve"> </w:t>
      </w:r>
      <w:r>
        <w:rPr>
          <w:iCs/>
          <w:i/>
        </w:rPr>
        <w:t xml:space="preserve">Proceedings of the 21st Annual International ACM SIGIR Conference on Research and Development in Information Retrieval</w:t>
      </w:r>
      <w:r>
        <w:t xml:space="preserve"> </w:t>
      </w:r>
      <w:r>
        <w:t xml:space="preserve">(pp. 307–314). ACM.</w:t>
      </w:r>
    </w:p>
    <w:bookmarkEnd w:id="70"/>
    <w:bookmarkStart w:id="71" w:name="appendix-a-version-history"/>
    <w:p>
      <w:pPr>
        <w:pStyle w:val="Heading2"/>
      </w:pPr>
      <w:r>
        <w:t xml:space="preserve">Appendix A: Version history</w:t>
      </w:r>
    </w:p>
    <w:p>
      <w:pPr>
        <w:pStyle w:val="FirstParagraph"/>
      </w:pPr>
      <w:r>
        <w:t xml:space="preserve">This manuscript is the fourth structural version and has been through seven rounds of adversarial internal review. The history is recorded here rather than in the body, where in version 3.3 it had grown to 26% of the text and had become larger than the results section. Entries are in version order.</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and retitled.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v4.0.</w:t>
      </w:r>
      <w:r>
        <w:t xml:space="preserve"> </w:t>
      </w:r>
      <w:r>
        <w:t xml:space="preserve">Restructured and retitled.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p>
      <w:pPr>
        <w:pStyle w:val="BodyText"/>
      </w:pPr>
      <w:r>
        <w:rPr>
          <w:bCs/>
          <w:b/>
        </w:rPr>
        <w:t xml:space="preserve">v4.1 to v4.3.</w:t>
      </w:r>
      <w:r>
        <w:t xml:space="preserve"> </w:t>
      </w:r>
      <w:r>
        <w:t xml:space="preserve">Corrections to statements version 4.0 had made. The 9.2x comparison of AI-answer counts was withdrawn as a scope mismatch, because the second instrument’s count is scoped to the domain rather than the prefix, and a claim about platform ordering resting on a breakdown that did not sum to its total was dropped. Divergence between instruments had been described as error; it is a bound on the larger error and nothing more (Section 5.6). The October row of Table 2 had been labeled month-to-date; it is a monthly run-rate. The AI Overview ratio in Table 3 had been described as purely definitional; it is partly territorial. The deployment had been described as broad rather than driven by a few pages, alongside figures that contradicted it; the breadth claim was withdrawn and only the internally consistent concentration figures are kept. Adjacent sentences had counted two and three algorithm updates; one named, dated update falls in the window. In v4.2 and v4.3, the page count was corrected. 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v4.4.</w:t>
      </w:r>
      <w:r>
        <w:t xml:space="preserve"> </w:t>
      </w:r>
      <w:r>
        <w:t xml:space="preserve">The five incomplete reference entries and three uncited ones were resolved against primary sources.</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with no detectable relationship to age. Section 5.5.</w:t>
      </w:r>
    </w:p>
    <w:p>
      <w:pPr>
        <w:pStyle w:val="BodyText"/>
      </w:pPr>
      <w:r>
        <w:rPr>
          <w:bCs/>
          <w:b/>
        </w:rPr>
        <w:t xml:space="preserve">v4.6.</w:t>
      </w:r>
      <w:r>
        <w:t xml:space="preserve"> </w:t>
      </w:r>
      <w:r>
        <w:t xml:space="preserve">Six figures added and the abstract shortened. No figure in the text changed.</w:t>
      </w:r>
    </w:p>
    <w:p>
      <w:pPr>
        <w:pStyle w:val="BodyText"/>
      </w:pPr>
      <w:r>
        <w:rPr>
          <w:bCs/>
          <w:b/>
        </w:rPr>
        <w:t xml:space="preserve">v4.7 and v4.8.</w:t>
      </w:r>
      <w:r>
        <w:t xml:space="preserve"> </w:t>
      </w:r>
      <w:r>
        <w:t xml:space="preserve">Section 5.5 was regenerated by the released script</w:t>
      </w:r>
      <w:r>
        <w:t xml:space="preserve"> </w:t>
      </w:r>
      <w:r>
        <w:rPr>
          <w:rStyle w:val="VerbatimChar"/>
        </w:rPr>
        <w:t xml:space="preserve">analyze.py</w:t>
      </w:r>
      <w:r>
        <w:t xml:space="preserve">, because the v4.5 text had been written from recollection of the table and miscounted it: six of twelve prefixes, not five, have a ratio below one, and the age correlation is −0.11, not −0.09. Territory-matched ratios, the vendors’ agreement on the ordering of sections (60 of 66 pairs) and the power of the test were added, and the earlier statement that a single-vendor comparison between two sections</w:t>
      </w:r>
      <w:r>
        <w:t xml:space="preserve"> </w:t>
      </w:r>
      <w:r>
        <w:t xml:space="preserve">“</w:t>
      </w:r>
      <w:r>
        <w:t xml:space="preserve">carries an unknown sign</w:t>
      </w:r>
      <w:r>
        <w:t xml:space="preserve">”</w:t>
      </w:r>
      <w:r>
        <w:t xml:space="preserve"> </w:t>
      </w:r>
      <w:r>
        <w:t xml:space="preserve">was withdrawn as an overstatement. Two related-work paragraphs, Table 5’s day-77 column, referring-domain ranges in Table 6 and two Table 1 rows were added; stale cross-references were corrected; and the corrections list in Section 12 was replaced by this appendix. Section 5.6’s bound was restated: a 27.1x disagreement means at least one instrument is off by a factor of at least 5.2, the square root of 27.1; the earlier text gave 13x, which is the absolute bound expressed in units of the smaller reading, not a multiplicative factor. The left-censoring of the age proxy was corrected from three prefixes to one, and the prefixes that cross one under territory matching were corrected. In v4.8 the original title, used through v2.2, was restored, and the abstract, Section 1, lessons 1 and 3 of Section 9.2 and the conclusion were revised to introduce the User First Intelligence framework by name and to state plainly that its scoring function is specified and not evaluated; the abstract is longer as a result. The organization that operates the section is no longer named; the author’s affiliation is given as KL University only.</w:t>
      </w:r>
    </w:p>
    <w:bookmarkEnd w:id="71"/>
    <w:bookmarkStart w:id="72"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df" /><Relationship Type="http://schemas.openxmlformats.org/officeDocument/2006/relationships/image" Id="rId37" Target="media/rId37.pdf" /><Relationship Type="http://schemas.openxmlformats.org/officeDocument/2006/relationships/image" Id="rId41" Target="media/rId41.pdf" /><Relationship Type="http://schemas.openxmlformats.org/officeDocument/2006/relationships/image" Id="rId45" Target="media/rId45.pdf" /><Relationship Type="http://schemas.openxmlformats.org/officeDocument/2006/relationships/image" Id="rId52" Target="media/rId52.pdf" /><Relationship Type="http://schemas.openxmlformats.org/officeDocument/2006/relationships/image" Id="rId58" Target="media/rId58.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2026-10-12T15:41:40Z</dcterms:created>
  <dcterms:modified xsi:type="dcterms:W3CDTF">2026-10-12T15:41:40Z</dcterms:modified>
</cp:coreProperties>
</file>

<file path=docProps/custom.xml><?xml version="1.0" encoding="utf-8"?>
<Properties xmlns="http://schemas.openxmlformats.org/officeDocument/2006/custom-properties" xmlns:vt="http://schemas.openxmlformats.org/officeDocument/2006/docPropsVTypes"/>
</file>