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df" ContentType="application/pdf"/>
  <Override PartName="/word/media/rId37.pdf" ContentType="application/pdf"/>
  <Override PartName="/word/media/rId41.pdf" ContentType="application/pdf"/>
  <Override PartName="/word/media/rId45.pdf" ContentType="application/pdf"/>
  <Override PartName="/word/media/rId52.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User First Intelligence (UFI) is a framework for finding content gaps from the structure of an industry’s knowledge and the questions its users ask, rather than from keyword search volume. It organizes the industry under an ontology, populates a knowledge graph from several source classes, expresses user needs as executable competency questions, and scores gaps with a Content Gap Score; the specification and an open implementation are released. This paper reports one deployment of a gap of the kind the framework targets, and what happens when two commercial analytics platforms are pointed at the result. Applied search research runs almost entirely on such platforms and treats their outputs as measurements.</w:t>
      </w:r>
    </w:p>
    <w:p>
      <w:pPr>
        <w:pStyle w:val="BodyText"/>
      </w:pPr>
      <w:r>
        <w:t xml:space="preserve">The object is a newly published reference section on a large US telecommunications provider’s site: 381 area-code pages plus hubs, generated from a public numbering-plan registry and live from 26 July 2026. Because it did not exist before that date, two instruments observed one URL prefix from zero with no prior history to disagree about. They disagreed by more than the quantities most applied papers report: on estimated monthly visits by 25.9x, 27.1x, 10.2x and 7.5x in successive months; on ranking keywords by 2.0x; on live referring domains, read the same day, by 11.4x, with one instrument reporting 10% of those domains on .xyz and the other 75%.</w:t>
      </w:r>
    </w:p>
    <w:p>
      <w:pPr>
        <w:pStyle w:val="BodyText"/>
      </w:pPr>
      <w:r>
        <w:t xml:space="preserve">A cross-section of twelve sections of the same domain, read on both instruments on one day, shows what a single series cannot. The vendor ratio on estimated visits runs from 0.20x to 7.24x across sections of one site, with a median of 1.01 and six of twelve below one; it shows no detectable relationship with section age (Spearman −0.11, 95% interval −0.64 to +0.49); and it does not follow the keyword-universe ratio, which runs 2x to 21x in one direction throughout. The section followed for 77 days sits near one extreme. The vendors agree on which section is larger in 60 of 66 pairs; the correction factor between them is what has no fixed sign or size, so no domain-level calibration converts one vendor’s figure into the other’s.</w:t>
      </w:r>
    </w:p>
    <w:p>
      <w:pPr>
        <w:pStyle w:val="BodyText"/>
      </w:pPr>
      <w:r>
        <w:t xml:space="preserve">The divergence is the primary result because it does not depend on the author’s judgment: every reading is of a public prefix that any subscriber can re-read. The deployment series is reported as context. At day 37, the last observation before an automated link network arrived, the section held 15,830 ranking positions with nineteen referring domains; by day 77 it appeared in 17,206 stored AI answers across six platforms with no editorial link, and the pages most cited were the hubs that enumerate codes rather than the pages that answer. Six enabling conditions, the deployment’s cost, and six lessons stated as its failures are given. No causal claim is made.</w:t>
      </w:r>
    </w:p>
    <w:bookmarkEnd w:id="20"/>
    <w:bookmarkStart w:id="24" w:name="introduction"/>
    <w:p>
      <w:pPr>
        <w:pStyle w:val="Heading2"/>
      </w:pPr>
      <w:r>
        <w:t xml:space="preserve">1 Introduction</w:t>
      </w:r>
    </w:p>
    <w:p>
      <w:pPr>
        <w:pStyle w:val="FirstParagraph"/>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error.</w:t>
      </w:r>
    </w:p>
    <w:p>
      <w:pPr>
        <w:pStyle w:val="BodyText"/>
      </w:pPr>
      <w:r>
        <w:t xml:space="preserve">The vendors do not claim otherwise in their documentation, which describes click models over estimated volumes at estimated positions. The practice treats them as counters anyway. This paper is an attempt to put a number on what that costs. The question matters for any framework that claims to find content worth building, including the one this paper specifies: User First Intelligence identifies gaps from an industry’s knowledge structure and its users’ questions rather than from keyword volume, and the first thing such a framework needs is an honest measurement of what happens when a gap is filled.</w:t>
      </w:r>
    </w:p>
    <w:bookmarkStart w:id="21"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bookmarkEnd w:id="21"/>
    <w:bookmarkStart w:id="22" w:name="what-this-paper-reports"/>
    <w:p>
      <w:pPr>
        <w:pStyle w:val="Heading3"/>
      </w:pPr>
      <w:r>
        <w:t xml:space="preserve">1.2 What this paper reports</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p>
      <w:pPr>
        <w:numPr>
          <w:ilvl w:val="0"/>
          <w:numId w:val="1001"/>
        </w:numPr>
        <w:pStyle w:val="Compact"/>
      </w:pPr>
      <w:r>
        <w:rPr>
          <w:bCs/>
          <w:b/>
        </w:rPr>
        <w:t xml:space="preserve">The User First Intelligence framework</w:t>
      </w:r>
      <w:r>
        <w:t xml:space="preserve">: its specification, including the Content Gap Score and two competency-question metrics (schema pass rate and instance coverage), and an open reference implementation. Appendix B and Section 12. The score’s predictive value is not evaluated here; Section 11 registers the study that would evaluate it.</w:t>
      </w:r>
    </w:p>
    <w:bookmarkEnd w:id="22"/>
    <w:bookmarkStart w:id="23"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3"/>
    <w:bookmarkEnd w:id="24"/>
    <w:bookmarkStart w:id="25"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wrong in level, with the two keyword-based tools underestimating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5"/>
    <w:bookmarkStart w:id="27"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6"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6"/>
    <w:bookmarkEnd w:id="27"/>
    <w:bookmarkStart w:id="31"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28"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28"/>
    <w:bookmarkStart w:id="29"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29"/>
    <w:bookmarkStart w:id="30"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0"/>
    <w:bookmarkEnd w:id="31"/>
    <w:bookmarkStart w:id="50"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5"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3" name="Picture"/>
            <a:graphic>
              <a:graphicData uri="http://schemas.openxmlformats.org/drawingml/2006/picture">
                <pic:pic>
                  <pic:nvPicPr>
                    <pic:cNvPr descr="fig1_divergence.pdf" id="34" name="Picture"/>
                    <pic:cNvPicPr>
                      <a:picLocks noChangeArrowheads="1" noChangeAspect="1"/>
                    </pic:cNvPicPr>
                  </pic:nvPicPr>
                  <pic:blipFill>
                    <a:blip r:embed="rId32"/>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1.</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5"/>
    <w:bookmarkStart w:id="36"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6"/>
    <w:bookmarkStart w:id="40"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38" name="Picture"/>
            <a:graphic>
              <a:graphicData uri="http://schemas.openxmlformats.org/drawingml/2006/picture">
                <pic:pic>
                  <pic:nvPicPr>
                    <pic:cNvPr descr="fig2_aio.pdf" id="39" name="Picture"/>
                    <pic:cNvPicPr>
                      <a:picLocks noChangeArrowheads="1" noChangeAspect="1"/>
                    </pic:cNvPicPr>
                  </pic:nvPicPr>
                  <pic:blipFill>
                    <a:blip r:embed="rId37"/>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2b).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0"/>
    <w:bookmarkStart w:id="44"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3. Composition of live referring domains to the prefix by top-level domain, as reported by each instrument on 11 October 2026. Ahrefs: 913 domains; Semrush Backlink Analytics: 80 domains, of which the instrument reports 75% on .xyz and does not break down the remainder." title="" id="42" name="Picture"/>
            <a:graphic>
              <a:graphicData uri="http://schemas.openxmlformats.org/drawingml/2006/picture">
                <pic:pic>
                  <pic:nvPicPr>
                    <pic:cNvPr descr="fig3_refdomains.pdf" id="43" name="Picture"/>
                    <pic:cNvPicPr>
                      <a:picLocks noChangeArrowheads="1" noChangeAspect="1"/>
                    </pic:cNvPicPr>
                  </pic:nvPicPr>
                  <pic:blipFill>
                    <a:blip r:embed="rId41"/>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3.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3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4"/>
    <w:bookmarkStart w:id="48"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counts are the 12 October reads and differ slightly from Section 5.4’s 11 October read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70%</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83%</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99%</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99%</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100%</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94%</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43%</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6" name="Picture"/>
            <a:graphic>
              <a:graphicData uri="http://schemas.openxmlformats.org/drawingml/2006/picture">
                <pic:pic>
                  <pic:nvPicPr>
                    <pic:cNvPr descr="fig4_prefixes.pdf" id="47" name="Picture"/>
                    <pic:cNvPicPr>
                      <a:picLocks noChangeArrowheads="1" noChangeAspect="1"/>
                    </pic:cNvPicPr>
                  </pic:nvPicPr>
                  <pic:blipFill>
                    <a:blip r:embed="rId45"/>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4),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70% US, from 0.75x to 1.07x; /device-compare/, 83% US, from 0.99x to 1.20x); /es-us/local/, at 43%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48"/>
    <w:bookmarkStart w:id="49"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instrument is off about this prefix by a factor of five or more, and this study cannot say which. In absolute terms the bound is larger: at least one reading errs by at least 13 times the smaller reading. That is the whole of the inference, and it is enough to be worth reporting: a field that treats these outputs as measurements should know that at least one major vendor can be off by a factor of five or more on a two-month-old section, without knowing which one.</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be off by a factor of five below to nearly nine above. An effect of the size applied papers usually report is small against that. Reporting both vendors does not resolve which is right; it makes the uncertainty visible, and reporting one hides it.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49"/>
    <w:bookmarkEnd w:id="50"/>
    <w:bookmarkStart w:id="51"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1"/>
    <w:bookmarkStart w:id="57" w:name="X18d2d2e3075991b6ea11800201c55cd659d5f2a"/>
    <w:p>
      <w:pPr>
        <w:pStyle w:val="Heading2"/>
      </w:pPr>
      <w:r>
        <w:t xml:space="preserve">7 What the answers cite, and what they do not</w:t>
      </w:r>
    </w:p>
    <w:bookmarkStart w:id="55"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5).</w:t>
      </w:r>
    </w:p>
    <w:p>
      <w:pPr>
        <w:pStyle w:val="CaptionedFigure"/>
      </w:pPr>
      <w:r>
        <w:drawing>
          <wp:inline>
            <wp:extent cx="3594100" cy="2057400"/>
            <wp:effectExtent b="0" l="0" r="0" t="0"/>
            <wp:docPr descr="Figure 5. The eight pages under the prefix most often cited in stored AI answers, Ahrefs Brand Radar, 11 October 2026. Enumerating pages (state hubs and the national hub) are solid; per-entity code pages are hatched." title="" id="53" name="Picture"/>
            <a:graphic>
              <a:graphicData uri="http://schemas.openxmlformats.org/drawingml/2006/picture">
                <pic:pic>
                  <pic:nvPicPr>
                    <pic:cNvPr descr="fig5_cited.pdf" id="54" name="Picture"/>
                    <pic:cNvPicPr>
                      <a:picLocks noChangeArrowheads="1" noChangeAspect="1"/>
                    </pic:cNvPicPr>
                  </pic:nvPicPr>
                  <pic:blipFill>
                    <a:blip r:embed="rId52"/>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5.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55"/>
    <w:bookmarkStart w:id="56"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56"/>
    <w:bookmarkEnd w:id="57"/>
    <w:bookmarkStart w:id="62"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1"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59" name="Picture"/>
            <a:graphic>
              <a:graphicData uri="http://schemas.openxmlformats.org/drawingml/2006/picture">
                <pic:pic>
                  <pic:nvPicPr>
                    <pic:cNvPr descr="fig6_positions.pdf" id="60" name="Picture"/>
                    <pic:cNvPicPr>
                      <a:picLocks noChangeArrowheads="1" noChangeAspect="1"/>
                    </pic:cNvPicPr>
                  </pic:nvPicPr>
                  <pic:blipFill>
                    <a:blip r:embed="rId58"/>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6).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1"/>
    <w:bookmarkEnd w:id="62"/>
    <w:bookmarkStart w:id="65" w:name="X65c2b72456955cd8a1ed6d4492e2b2bf5d03463"/>
    <w:p>
      <w:pPr>
        <w:pStyle w:val="Heading2"/>
      </w:pPr>
      <w:r>
        <w:t xml:space="preserve">9 What the deployment cost, and what it got wrong</w:t>
      </w:r>
    </w:p>
    <w:bookmarkStart w:id="63"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63"/>
    <w:bookmarkStart w:id="64"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none: no forum, Q&amp;A, video, social or review data was linked to any entity. Cost: the deployment cannot show that the framework’s user-question layer did any work; that layer is specified in Appendix B and is untested here.</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4"/>
    <w:bookmarkEnd w:id="65"/>
    <w:bookmarkStart w:id="66"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6"/>
    <w:bookmarkStart w:id="67"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67"/>
    <w:bookmarkStart w:id="68"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commit</w:t>
      </w:r>
      <w:r>
        <w:t xml:space="preserve"> </w:t>
      </w:r>
      <w:r>
        <w:rPr>
          <w:rStyle w:val="VerbatimChar"/>
        </w:rPr>
        <w:t xml:space="preserve">0ae8678</w:t>
      </w:r>
      <w:r>
        <w:t xml:space="preserve">: test suite, command line interface, and a worked example that runs offline on public data. The corrected numbering-plan ontology in YAML with OWL and SHACL export, and the area-code dataset the example uses.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68"/>
    <w:bookmarkStart w:id="69" w:name="conclusion"/>
    <w:p>
      <w:pPr>
        <w:pStyle w:val="Heading2"/>
      </w:pPr>
      <w:r>
        <w:t xml:space="preserve">13 Conclusion</w:t>
      </w:r>
    </w:p>
    <w:p>
      <w:pPr>
        <w:pStyle w:val="FirstParagraph"/>
      </w:pPr>
      <w:r>
        <w:t xml:space="preserve">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error it cannot bound from its own data.</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p>
      <w:pPr>
        <w:pStyle w:val="BodyText"/>
      </w:pPr>
      <w:r>
        <w:t xml:space="preserve">The framework under which the section was built, User First Intelligence, is specified in Appendix B and released as an open implementation with executable competency questions, whose schema pass rate and instance coverage are reported separately. Its scoring function is not evaluated here. Section 11 registers the prospective study, with parameters locked before any data exist, that would test whether it identifies gaps worth building.</w:t>
      </w:r>
    </w:p>
    <w:bookmarkEnd w:id="69"/>
    <w:bookmarkStart w:id="70" w:name="references"/>
    <w:p>
      <w:pPr>
        <w:pStyle w:val="Heading2"/>
      </w:pPr>
      <w:r>
        <w:t xml:space="preserve">References</w:t>
      </w:r>
    </w:p>
    <w:p>
      <w:pPr>
        <w:pStyle w:val="FirstParagraph"/>
      </w:pPr>
      <w:r>
        <w:t xml:space="preserve">Twenty-nine entries, each cited in the text.</w:t>
      </w:r>
    </w:p>
    <w:p>
      <w:pPr>
        <w:pStyle w:val="BodyText"/>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0"/>
    <w:bookmarkStart w:id="71"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instrument is off by a factor of at least 5.2, the square root of 27.1;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lessons 1 and 3 of Section 9.2 and the conclusion were revised to introduce the User First Intelligence framework by name and to state plainly that its scoring function is specified and not evaluated; the abstract is longer as a result. The organization that operates the section is no longer named; the author’s affiliation is given as KL University only.</w:t>
      </w:r>
    </w:p>
    <w:bookmarkEnd w:id="71"/>
    <w:bookmarkStart w:id="72"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1" Target="media/rId41.pdf" /><Relationship Type="http://schemas.openxmlformats.org/officeDocument/2006/relationships/image" Id="rId45" Target="media/rId45.pdf" /><Relationship Type="http://schemas.openxmlformats.org/officeDocument/2006/relationships/image" Id="rId52" Target="media/rId52.pdf" /><Relationship Type="http://schemas.openxmlformats.org/officeDocument/2006/relationships/image" Id="rId58" Target="media/rId58.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2026-10-12T15:05:43Z</dcterms:created>
  <dcterms:modified xsi:type="dcterms:W3CDTF">2026-10-12T15:05:43Z</dcterms:modified>
</cp:coreProperties>
</file>

<file path=docProps/custom.xml><?xml version="1.0" encoding="utf-8"?>
<Properties xmlns="http://schemas.openxmlformats.org/officeDocument/2006/custom-properties" xmlns:vt="http://schemas.openxmlformats.org/officeDocument/2006/docPropsVTypes"/>
</file>