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5.pdf" ContentType="application/pdf"/>
  <Override PartName="/word/media/rId40.pdf" ContentType="application/pdf"/>
  <Override PartName="/word/media/rId44.pdf" ContentType="application/pdf"/>
  <Override PartName="/word/media/rId48.pdf" ContentType="application/pdf"/>
  <Override PartName="/word/media/rId55.pdf" ContentType="application/pdf"/>
  <Override PartName="/word/media/rId6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People say what they want to know in many places that are not a search box: forum threads, question sites, video comments, reviews, support tickets, social groups. Keyword-volume tools see the fraction of that demand that reaches a search engine in a countable form, and AI answer surfaces now stand between the question and the page. User First Intelligence (UFI) is a framework built on that premise: collect what people ask across platforms, beyond the website; classify it and link it to the entities of an industry held under an ontology; keep structure, coverage and demand sources in separate roles in a knowledge graph; express user needs as executable competency questions; and score where the organization does not answer, treating the form of the answer as something to measure. The specification and an open implementation reading thirteen demand surfaces are released.</w:t>
      </w:r>
    </w:p>
    <w:p>
      <w:pPr>
        <w:pStyle w:val="BodyText"/>
      </w:pPr>
      <w:r>
        <w:t xml:space="preserve">This paper reports one deployment of a gap of the kind the framework targets, identified from one of those surfaces, and what two commercial analytics platforms recorded when pointed at it: 381 area-code pages on a large US telecommunications provider’s site, live from 26 July 2026 and observed by both instruments from zero. On estimated monthly visits the two differed by 25.9x, 27.1x, 10.2x and 7.5x in successive months; on ranking keywords by 2.0x; on live referring domains by 11.4x. Across twelve sections of the same domain read on one day, the ratio on estimated visits runs from 0.20x to 7.24x (0.20x to 8.89x territory-matched), with no detectable relationship to section age (Spearman −0.11, 95% interval −0.64 to +0.49) and no fixed correction factor, while the instruments agree on which section is larger in 60 of 66 pairs. Both are sound for direction; the demand that never reaches a search box is outside what either reports, and is what the framework’s other surfaces are designed to observe. The deployment series is reported as context. The scoring function is specified, not evaluated; this deployment collected one surface of thirteen, and the studies that would test the framework are registered. No causal claim is made.</w:t>
      </w:r>
    </w:p>
    <w:bookmarkEnd w:id="20"/>
    <w:bookmarkStart w:id="27" w:name="introduction"/>
    <w:p>
      <w:pPr>
        <w:pStyle w:val="Heading2"/>
      </w:pPr>
      <w:r>
        <w:t xml:space="preserve">1 Introduction</w:t>
      </w:r>
    </w:p>
    <w:p>
      <w:pPr>
        <w:pStyle w:val="FirstParagraph"/>
      </w:pPr>
      <w:r>
        <w:t xml:space="preserve">A content decision starts with a question someone asked. The place it was asked is increasingly not a search engine: it is a forum thread, a question site, a comment under a video, a product review, a support ticket, a post in a group. Keyword-volume tools observe the part of that demand that reaches a search box in a countable phrasing; Section 6 shows this deployment ranking for question forms, misspellings and non-English phrasings that carry little or no reported volume in those tools, and AI answer surfaces now sit between many questions and any page at all. User First Intelligence is a framework built on that premise: go beyond the website to where the questions are, classify and link them to the entities of an industry held under an ontology, keep the sources that establish structure, coverage and demand in separate roles so that a competitor’s coverage cannot pose as user demand, express user needs as competency questions that a knowledge graph can be asked, and score where the organization fails to answer, with the form of the answer measured rather than assumed (Figure 1). The deployment reported here was built from a gap identified through one of those surfaces, competitor keyword exports, before the framework’s other surfaces were implemented; it is a case of the kind of gap the framework targets, not a run of the framework. It also exposed the measurement problem the rest of this paper is about.</w:t>
      </w:r>
    </w:p>
    <w:p>
      <w:pPr>
        <w:pStyle w:val="BodyText"/>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uncertainty.</w:t>
      </w:r>
    </w:p>
    <w:p>
      <w:pPr>
        <w:pStyle w:val="BodyText"/>
      </w:pPr>
      <w:r>
        <w:t xml:space="preserve">The vendors do not claim otherwise in their documentation, which describes click models over estimated volumes at estimated positions. The practice treats them as counters anyway. This paper puts a number on how far two such estimates of one object can lie apart, so that the practice can state its uncertainty. For a framework whose premise is that volume tools see only part of demand, that number is not incidental: it is the size of the gap the framework’s demand layer exists to fill, and it has to be measured before the framework can be evaluated against it.</w:t>
      </w:r>
    </w:p>
    <w:bookmarkStart w:id="24"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p>
      <w:pPr>
        <w:pStyle w:val="CaptionedFigure"/>
      </w:pPr>
      <w:r>
        <w:drawing>
          <wp:inline>
            <wp:extent cx="5321300" cy="2921000"/>
            <wp:effectExtent b="0" l="0" r="0" t="0"/>
            <wp:docPr descr="Figure 1. The User First Intelligence framework. (a) The thirteen demand surfaces the released implementation reads, grouped by whether they carry a user’s own words or a tool’s reconstruction of demand; the one surface this deployment actually collected is marked. (b) The pipeline from observed questions to content, with the two observation layers this paper reports (dashed) and the component it specifies but does not evaluate (shaded). The deployment in this paper ran the lower layer and one surface of the upper; it did not run the pipeline end to end." title="" id="22" name="Picture"/>
            <a:graphic>
              <a:graphicData uri="http://schemas.openxmlformats.org/drawingml/2006/picture">
                <pic:pic>
                  <pic:nvPicPr>
                    <pic:cNvPr descr="fig0_framework.pdf" id="23" name="Picture"/>
                    <pic:cNvPicPr>
                      <a:picLocks noChangeArrowheads="1" noChangeAspect="1"/>
                    </pic:cNvPicPr>
                  </pic:nvPicPr>
                  <pic:blipFill>
                    <a:blip r:embed="rId21"/>
                    <a:stretch>
                      <a:fillRect/>
                    </a:stretch>
                  </pic:blipFill>
                  <pic:spPr bwMode="auto">
                    <a:xfrm>
                      <a:off x="0" y="0"/>
                      <a:ext cx="5321300" cy="2921000"/>
                    </a:xfrm>
                    <a:prstGeom prst="rect">
                      <a:avLst/>
                    </a:prstGeom>
                    <a:noFill/>
                    <a:ln w="9525">
                      <a:noFill/>
                      <a:headEnd/>
                      <a:tailEnd/>
                    </a:ln>
                  </pic:spPr>
                </pic:pic>
              </a:graphicData>
            </a:graphic>
          </wp:inline>
        </w:drawing>
      </w:r>
    </w:p>
    <w:p>
      <w:pPr>
        <w:pStyle w:val="ImageCaption"/>
      </w:pPr>
      <w:r>
        <w:t xml:space="preserve">Figure 1. The User First Intelligence framework. (a) The thirteen demand surfaces the released implementation reads, grouped by whether they carry a user’s own words or a tool’s reconstruction of demand; the one surface this deployment actually collected is marked. (b) The pipeline from observed questions to content, with the two observation layers this paper reports (dashed) and the component it specifies but does not evaluate (shaded). The deployment in this paper ran the lower layer and one surface of the upper; it did not run the pipeline end to end.</w:t>
      </w:r>
    </w:p>
    <w:bookmarkEnd w:id="24"/>
    <w:bookmarkStart w:id="25" w:name="what-this-paper-reports"/>
    <w:p>
      <w:pPr>
        <w:pStyle w:val="Heading3"/>
      </w:pPr>
      <w:r>
        <w:t xml:space="preserve">1.2 What this paper reports</w:t>
      </w:r>
    </w:p>
    <w:p>
      <w:pPr>
        <w:numPr>
          <w:ilvl w:val="0"/>
          <w:numId w:val="1001"/>
        </w:numPr>
        <w:pStyle w:val="Compact"/>
      </w:pPr>
      <w:r>
        <w:rPr>
          <w:bCs/>
          <w:b/>
        </w:rPr>
        <w:t xml:space="preserve">The User First Intelligence framework</w:t>
      </w:r>
      <w:r>
        <w:t xml:space="preserve"> </w:t>
      </w:r>
      <w:r>
        <w:t xml:space="preserve">(Figure 1): collecting user questions beyond the website across thirteen demand surfaces, classifying and linking them to an industry ontology, holding structure, coverage and demand as separate source roles in a knowledge graph, and scoring unanswered questions with a Content Gap Score and two competency-question metrics (schema pass rate and instance coverage); released as a specification (Appendix B) and an open implementation (Section 12). This deployment collected one of the thirteen surfaces, so the framework’s demand claim is specified and registered for test (Section 11), not demonstrated.</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bookmarkEnd w:id="25"/>
    <w:bookmarkStart w:id="26"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6"/>
    <w:bookmarkEnd w:id="27"/>
    <w:bookmarkStart w:id="28"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differing from the first-party figure in level, with the two keyword-based tools below it on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Personalization and the visibility of demand.</w:t>
      </w:r>
      <w:r>
        <w:t xml:space="preserve"> </w:t>
      </w:r>
      <w:r>
        <w:t xml:space="preserve">The framework’s premise that a search box shows only part of what people ask has one documented component, one observation and one open question. Demand that never reaches a search engine in a countable phrasing is documented by the long-tail literature [Goel et al. 2010]; Section 6 adds the untested observation that the section ranks for question forms, misspellings and non-English phrasings carrying little or no reported volume. Personalization of classic web search has been measured directly: about 11.7% of Google results differed between users in a 2013 audit, with signed-in status and location the drivers and demographic attributes such as gender and age producing no substantial effect [Hannak et al. 2013]. What has not been measured is personalization of AI answer surfaces, where the answer is composed rather than ranked and the user’s stated situation enters the prompt; the behavioral evidence so far concerns clicks, not variation in the answer itself [Chapekis &amp; Lieb 2025]. Whether AI answers vary with the persona of the asker is therefore an open question this paper does not answer and Section 11 registers.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8"/>
    <w:bookmarkStart w:id="30"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9"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9"/>
    <w:bookmarkEnd w:id="30"/>
    <w:bookmarkStart w:id="34"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31"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31"/>
    <w:bookmarkStart w:id="32"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32"/>
    <w:bookmarkStart w:id="33"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3"/>
    <w:bookmarkEnd w:id="34"/>
    <w:bookmarkStart w:id="53"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8"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2.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6" name="Picture"/>
            <a:graphic>
              <a:graphicData uri="http://schemas.openxmlformats.org/drawingml/2006/picture">
                <pic:pic>
                  <pic:nvPicPr>
                    <pic:cNvPr descr="fig1_divergence.pdf" id="37" name="Picture"/>
                    <pic:cNvPicPr>
                      <a:picLocks noChangeArrowheads="1" noChangeAspect="1"/>
                    </pic:cNvPicPr>
                  </pic:nvPicPr>
                  <pic:blipFill>
                    <a:blip r:embed="rId35"/>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2.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2.</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8"/>
    <w:bookmarkStart w:id="39"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9"/>
    <w:bookmarkStart w:id="43"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3.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41" name="Picture"/>
            <a:graphic>
              <a:graphicData uri="http://schemas.openxmlformats.org/drawingml/2006/picture">
                <pic:pic>
                  <pic:nvPicPr>
                    <pic:cNvPr descr="fig2_aio.pdf" id="42" name="Picture"/>
                    <pic:cNvPicPr>
                      <a:picLocks noChangeArrowheads="1" noChangeAspect="1"/>
                    </pic:cNvPicPr>
                  </pic:nvPicPr>
                  <pic:blipFill>
                    <a:blip r:embed="rId40"/>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3.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3b).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3"/>
    <w:bookmarkStart w:id="47"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4. Composition of live referring domains to the prefix by top-level domain, as reported by each instrument on 11 October 2026. Ahrefs: 913 domains; Semrush Backlink Analytics: 80 domains, of which the instrument reports 75% on .xyz and does not break down the remainder." title="" id="45" name="Picture"/>
            <a:graphic>
              <a:graphicData uri="http://schemas.openxmlformats.org/drawingml/2006/picture">
                <pic:pic>
                  <pic:nvPicPr>
                    <pic:cNvPr descr="fig3_refdomains.pdf" id="46" name="Picture"/>
                    <pic:cNvPicPr>
                      <a:picLocks noChangeArrowheads="1" noChangeAspect="1"/>
                    </pic:cNvPicPr>
                  </pic:nvPicPr>
                  <pic:blipFill>
                    <a:blip r:embed="rId44"/>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4.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4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7"/>
    <w:bookmarkStart w:id="51"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and keyword counts are the 12 October reads and differ slightly from Sections 5.2 and 5.4’s 10–11 October reads (29,000 and 58,586 keywords;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81.4%</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69.6%</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99.2%</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82.6%</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98.8%</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98.7%</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99.8%</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98.5%</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93.6%</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99.4%</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99.3%</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42.6%</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5.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9" name="Picture"/>
            <a:graphic>
              <a:graphicData uri="http://schemas.openxmlformats.org/drawingml/2006/picture">
                <pic:pic>
                  <pic:nvPicPr>
                    <pic:cNvPr descr="fig4_prefixes.pdf" id="50" name="Picture"/>
                    <pic:cNvPicPr>
                      <a:picLocks noChangeArrowheads="1" noChangeAspect="1"/>
                    </pic:cNvPicPr>
                  </pic:nvPicPr>
                  <pic:blipFill>
                    <a:blip r:embed="rId48"/>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5.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5),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69.6% US, from 0.75x to 1.07x; /device-compare/, 82.6% US, from 0.99x to 1.20x); /es-us/local/, at 42.6%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51"/>
    <w:bookmarkStart w:id="52"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of the two estimates lies a factor of five or more from the quantity both are estimating, and this study cannot say which. In absolute terms the bound is larger: the two readings differ by at least 13 times the smaller one. That is the whole of the inference, and it is a property of the pair, not a finding about either vendor: a reader who compares such estimates across instruments should know that on a two-month-old section they can stand a factor of five or more apart, without the comparison itself showing which is closer.</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differ by a factor of five below to nearly nine above. An effect of the size applied papers usually report is small against that. Both instruments remain the appropriate tools for ranking sections and for directional comparison; this result concerns the comparability of magnitudes across instruments, not the usefulness of either. It is also the measurement that motivates the framework in Figure 1: a content program that needs the magnitude of demand for a topic cannot read it from one volume tool alone. That the demand which never reaches a search box differs in which topics it names and in what form it takes is the framework’s hypothesis, not a consequence of this measurement, and Section 11 registers its test. Reporting both makes the range of estimates visible; reporting one does not.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52"/>
    <w:bookmarkEnd w:id="53"/>
    <w:bookmarkStart w:id="54"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4"/>
    <w:bookmarkStart w:id="60" w:name="X18d2d2e3075991b6ea11800201c55cd659d5f2a"/>
    <w:p>
      <w:pPr>
        <w:pStyle w:val="Heading2"/>
      </w:pPr>
      <w:r>
        <w:t xml:space="preserve">7 What the answers cite, and what they do not</w:t>
      </w:r>
    </w:p>
    <w:bookmarkStart w:id="58"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6).</w:t>
      </w:r>
    </w:p>
    <w:p>
      <w:pPr>
        <w:pStyle w:val="CaptionedFigure"/>
      </w:pPr>
      <w:r>
        <w:drawing>
          <wp:inline>
            <wp:extent cx="3594100" cy="2057400"/>
            <wp:effectExtent b="0" l="0" r="0" t="0"/>
            <wp:docPr descr="Figure 6. The eight pages under the prefix most often cited in stored AI answers, Ahrefs Brand Radar, 11 October 2026. Enumerating pages (state hubs and the national hub) are solid; per-entity code pages are hatched." title="" id="56" name="Picture"/>
            <a:graphic>
              <a:graphicData uri="http://schemas.openxmlformats.org/drawingml/2006/picture">
                <pic:pic>
                  <pic:nvPicPr>
                    <pic:cNvPr descr="fig5_cited.pdf" id="57" name="Picture"/>
                    <pic:cNvPicPr>
                      <a:picLocks noChangeArrowheads="1" noChangeAspect="1"/>
                    </pic:cNvPicPr>
                  </pic:nvPicPr>
                  <pic:blipFill>
                    <a:blip r:embed="rId55"/>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6.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 This is the framework’s form question in miniature: the form in which a question is best answered is an empirical property to be measured, which is why the framework scores unanswered questions and leaves form to be tested, and why the Content Gap Score carries no form term (Appendix B).</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58"/>
    <w:bookmarkStart w:id="59"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59"/>
    <w:bookmarkEnd w:id="60"/>
    <w:bookmarkStart w:id="65"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4"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7.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62" name="Picture"/>
            <a:graphic>
              <a:graphicData uri="http://schemas.openxmlformats.org/drawingml/2006/picture">
                <pic:pic>
                  <pic:nvPicPr>
                    <pic:cNvPr descr="fig6_positions.pdf" id="63" name="Picture"/>
                    <pic:cNvPicPr>
                      <a:picLocks noChangeArrowheads="1" noChangeAspect="1"/>
                    </pic:cNvPicPr>
                  </pic:nvPicPr>
                  <pic:blipFill>
                    <a:blip r:embed="rId61"/>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7.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7).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4"/>
    <w:bookmarkEnd w:id="65"/>
    <w:bookmarkStart w:id="68" w:name="X65c2b72456955cd8a1ed6d4492e2b2bf5d03463"/>
    <w:p>
      <w:pPr>
        <w:pStyle w:val="Heading2"/>
      </w:pPr>
      <w:r>
        <w:t xml:space="preserve">9 What the deployment cost, and what it got wrong</w:t>
      </w:r>
    </w:p>
    <w:bookmarkStart w:id="66"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66"/>
    <w:bookmarkStart w:id="67"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 first-party surface: of the thirteen demand surfaces the released implementation reads (Figure 1a), only competitor keyword exports, a tool-derived surface, were linked to any entity; no forum, Q&amp;A, video, social, review or support data was. Cost: the deployment cannot show that the framework’s user-question layer did any work; that layer is specified in Appendix B, exercised in the released example on synthetic records flagged as synthetic, and untested here on observed data.</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7"/>
    <w:bookmarkEnd w:id="68"/>
    <w:bookmarkStart w:id="69"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9"/>
    <w:bookmarkStart w:id="70"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The multi-platform demand study, which is the framework’s own test.</w:t>
      </w:r>
      <w:r>
        <w:t xml:space="preserve"> </w:t>
      </w:r>
      <w:r>
        <w:t xml:space="preserve">For one enumerable class, collect user questions from the first-party surfaces in Figure 1a (forum, question site, video comments and transcripts, reviews, social groups, support tickets), link them to entities with the released linker, and compare the resulting demand distribution with the keyword-volume distribution for the same entities. The registered prediction is that the two distributions differ in both which entities carry demand and in what form the demand takes (question, comparison, how-to, video), and that the difference is largest where reported volume is smallest. The released implementation reads every surface and prints which returned rows, so a run that collected nothing cannot be reported as one that did.</w:t>
      </w:r>
    </w:p>
    <w:p>
      <w:pPr>
        <w:pStyle w:val="BodyText"/>
      </w:pPr>
      <w:r>
        <w:rPr>
          <w:bCs/>
          <w:b/>
        </w:rPr>
        <w:t xml:space="preserve">A persona study on AI answer surfaces.</w:t>
      </w:r>
      <w:r>
        <w:t xml:space="preserve"> </w:t>
      </w:r>
      <w:r>
        <w:t xml:space="preserve">The same frozen query set issued to AI answer surfaces under a small set of stated personas (for example parent, business owner, traveller), with the cited sources and the answer text compared across personas. The question is whether the answer and its citations vary with who is asking, which classic web search audits found only weakly for demographic attributes [Hannak et al. 2013] and which no audit has measured for composed answers.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70"/>
    <w:bookmarkStart w:id="71"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version 0.2.0: test suite, command line interface, and a worked example that runs offline on public data. The corrected numbering-plan ontology in YAML with OWL and SHACL export, and the area-code dataset the example uses. The demand layer ships adapters for thirteen surfaces and a coverage report that prints which surfaces returned rows. The frozen 924-query set, the parameter lock and the run manifest are committed in the repository at</w:t>
      </w:r>
      <w:r>
        <w:t xml:space="preserve"> </w:t>
      </w:r>
      <w:r>
        <w:rPr>
          <w:rStyle w:val="VerbatimChar"/>
        </w:rPr>
        <w:t xml:space="preserve">examples/nanp/out/</w:t>
      </w:r>
      <w:r>
        <w:t xml:space="preserve">, so the digests quoted in Section 11 and Appendix B resolve to released files.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 Not naming it does not make it unidentifiable: the prefixes in Table 4 and the conflict-of-interest statement in Section 10 allow a reader with access to the same instruments to identify it, and that statement is kept because the disclosure is required. The name is withheld; the identity is not claimed to be concealed.</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71"/>
    <w:bookmarkStart w:id="72" w:name="conclusion"/>
    <w:p>
      <w:pPr>
        <w:pStyle w:val="Heading2"/>
      </w:pPr>
      <w:r>
        <w:t xml:space="preserve">13 Conclusion</w:t>
      </w:r>
    </w:p>
    <w:p>
      <w:pPr>
        <w:pStyle w:val="FirstParagraph"/>
      </w:pPr>
      <w:r>
        <w:t xml:space="preserve">User First Intelligence starts from the observation that people ask most of what they want to know somewhere other than a search box, and that the tools which count search demand see only the countable part. The framework goes beyond the website to where the questions are, classifies and links them to an industry held under an ontology, keeps structure, coverage and demand in separate roles in a knowledge graph, asks that graph competency questions, and scores where the organization fails to answer, with the form of the answer treated as a property to measure rather than assume, as Section 7.1 shows in miniature. It is specified in Appendix B and released as an open implementation reading thirteen demand surfaces, with executable competency questions whose schema pass rate and instance coverage are reported separately. Its scoring function is not evaluated here, and this deployment collected demand from one surface of the thirteen; Section 11 registers the multi-platform demand study and the persona study on AI answers that would test the framework’s two central claims, with parameters locked before any data exist.</w:t>
      </w:r>
    </w:p>
    <w:p>
      <w:pPr>
        <w:pStyle w:val="BodyText"/>
      </w:pPr>
      <w:r>
        <w:t xml:space="preserve">What the deployment measured is the reason the framework’s demand layer exists. 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estimation range it cannot bound from its own data, while a single-vendor ranking of sections is usually right in direction.</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bookmarkEnd w:id="72"/>
    <w:bookmarkStart w:id="73" w:name="references"/>
    <w:p>
      <w:pPr>
        <w:pStyle w:val="Heading2"/>
      </w:pPr>
      <w:r>
        <w:t xml:space="preserve">References</w:t>
      </w:r>
    </w:p>
    <w:p>
      <w:pPr>
        <w:pStyle w:val="FirstParagraph"/>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Hannak, A., Sapiezynski, P., Molavi Kakhki, A., Krishnamurthy, B., Lazer, D., Mislove, A., &amp; Wilson, C. (2013). Measuring personalization of web search. In</w:t>
      </w:r>
      <w:r>
        <w:t xml:space="preserve"> </w:t>
      </w:r>
      <w:r>
        <w:rPr>
          <w:iCs/>
          <w:i/>
        </w:rPr>
        <w:t xml:space="preserve">Proceedings of the 22nd International Conference on World Wide Web (WWW 2013)</w:t>
      </w:r>
      <w:r>
        <w:t xml:space="preserve"> </w:t>
      </w:r>
      <w:r>
        <w:t xml:space="preserve">(pp. 527–538). ACM.</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3"/>
    <w:bookmarkStart w:id="74"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of the two estimates lies a factor of 5.2 or more, the square root of 27.1, from the quantity both estimate;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Section 2, lessons 1 and 3 of Section 9.2, Section 11 and the conclusion were revised to state the framework’s thesis, that user demand is observed beyond the website and only partly visible to volume tools, with the instrument comparison as its motivating measurement; Figure 1 was added; a personalization paragraph and the multi-platform demand and persona studies were added; every statement about multi-platform demand and personalization is written as the framework’s design or as a registered study, because this deployment collected one demand surface of thirteen. The abstract is longer as a result. The organization that operates the section is no longer named; the author’s affiliation is given as KL University only.</w:t>
      </w:r>
    </w:p>
    <w:bookmarkEnd w:id="74"/>
    <w:bookmarkStart w:id="75"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df" /><Relationship Type="http://schemas.openxmlformats.org/officeDocument/2006/relationships/image" Id="rId35" Target="media/rId35.pdf" /><Relationship Type="http://schemas.openxmlformats.org/officeDocument/2006/relationships/image" Id="rId40" Target="media/rId40.pdf" /><Relationship Type="http://schemas.openxmlformats.org/officeDocument/2006/relationships/image" Id="rId44" Target="media/rId44.pdf" /><Relationship Type="http://schemas.openxmlformats.org/officeDocument/2006/relationships/image" Id="rId48" Target="media/rId48.pdf" /><Relationship Type="http://schemas.openxmlformats.org/officeDocument/2006/relationships/image" Id="rId55" Target="media/rId55.pdf" /><Relationship Type="http://schemas.openxmlformats.org/officeDocument/2006/relationships/image" Id="rId61" Target="media/rId61.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2026-10-12T16:26:03Z</dcterms:created>
  <dcterms:modified xsi:type="dcterms:W3CDTF">2026-10-12T16:26:03Z</dcterms:modified>
</cp:coreProperties>
</file>

<file path=docProps/custom.xml><?xml version="1.0" encoding="utf-8"?>
<Properties xmlns="http://schemas.openxmlformats.org/officeDocument/2006/custom-properties" xmlns:vt="http://schemas.openxmlformats.org/officeDocument/2006/docPropsVTypes"/>
</file>