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Resilient Content Architecture: CMS Local Fallback Strategy</w:t>
      </w:r>
    </w:p>
    <w:p>
      <w:pPr>
        <w:jc w:val="center"/>
      </w:pPr>
      <w:r>
        <w:t>Ensuring 100% Simulation Availability in Zero-Connectivity Environments</w:t>
      </w:r>
    </w:p>
    <w:p>
      <w:r>
        <w:br/>
      </w:r>
    </w:p>
    <w:p>
      <w:pPr>
        <w:pStyle w:val="Heading1"/>
      </w:pPr>
      <w:r>
        <w:t>1. The "Pre-Cached State" Paradigm</w:t>
      </w:r>
    </w:p>
    <w:p>
      <w:r>
        <w:t>In a mission-critical simulation like JA BizTown, external internet dependency is a risk factor. Our CMS architecture is designed as a 'Sync-and-Cache' model, not a 'Pull-on-Demand' model.</w:t>
      </w:r>
    </w:p>
    <w:p>
      <w:pPr>
        <w:pStyle w:val="Heading1"/>
      </w:pPr>
      <w:r>
        <w:t>2. Integrated Fallback Mechanisms</w:t>
      </w:r>
    </w:p>
    <w:p>
      <w:pPr>
        <w:pStyle w:val="Heading2"/>
      </w:pPr>
      <w:r>
        <w:t>Volunteer Application Mode:</w:t>
      </w:r>
    </w:p>
    <w:p>
      <w:r>
        <w:t>Upon 'Simulation Activation' (typically 30 minutes before students arrive), the platform executes a full 'Content Sync Burst'. The application fetches all required simulation schema, role descriptions, and templates from the cloud CMS (Strapi/Directus) and commits them to the local IndexedDB/SQLite store on every tablet.</w:t>
      </w:r>
    </w:p>
    <w:p>
      <w:pPr>
        <w:pStyle w:val="Heading2"/>
      </w:pPr>
      <w:r>
        <w:t>Local State Dominance:</w:t>
      </w:r>
    </w:p>
    <w:p>
      <w:r>
        <w:t>Once a student or volunteer logs in, the application references the local database *first*. This ensures that if a facility's internet connection drops mid-simulation, the application logic continues without interruption, as 100% of the UI content and business rules are already resident in device memory.</w:t>
      </w:r>
    </w:p>
    <w:p>
      <w:pPr>
        <w:pStyle w:val="Heading1"/>
      </w:pPr>
      <w:r>
        <w:t>3. The Delta-Sync Service</w:t>
      </w:r>
    </w:p>
    <w:p>
      <w:r>
        <w:t>If the internet is restored during the simulation, a low-priority background worker checks for 'CMS Delta Overrides' (e.g., a last-minute change to a sponsor's logo or a business description). These are applied incrementally to the local store without restarting the application or disrupting the student's workflow.</w:t>
      </w:r>
    </w:p>
    <w:p>
      <w:pPr>
        <w:pStyle w:val="Heading1"/>
      </w:pPr>
      <w:r>
        <w:t>4. High-Density Media Persistence &amp; Tablet Storage</w:t>
      </w:r>
    </w:p>
    <w:p>
      <w:r>
        <w:t>To ensure a rich, immersive experience in offline mode, the platform implements a specialized media management layer designed for tablet-class hardware.</w:t>
      </w:r>
    </w:p>
    <w:p>
      <w:pPr>
        <w:pStyle w:val="Heading2"/>
      </w:pPr>
      <w:r>
        <w:t>Targeted Asset Bundling:</w:t>
      </w:r>
    </w:p>
    <w:p>
      <w:r>
        <w:t>To avoid overwhelming tablet storage with the entire National JA USA media library, the 'Warmup Sync' uses Template Intelligence. The system only caches media files (videos, high-res images) specifically linked to that day's scheduled simulation template and active business sponsors.</w:t>
      </w:r>
    </w:p>
    <w:p>
      <w:pPr>
        <w:pStyle w:val="Heading2"/>
      </w:pPr>
      <w:r>
        <w:t>Adaptive Storage Optimization:</w:t>
      </w:r>
    </w:p>
    <w:p>
      <w:pPr>
        <w:pStyle w:val="ListBullet"/>
      </w:pPr>
      <w:r>
        <w:t>Media is stored using modern compression standards (WebP for images, H.265 for video) which provides a 30-50% reduction in file size without perceptible quality loss for students. The application automatically manages a 'Rolling Purge' of old cached assets from previous simulations once they pass the 30-day retention window, keeping the device's internal storage lean.</w:t>
      </w:r>
    </w:p>
    <w:p>
      <w:pPr>
        <w:pStyle w:val="Heading2"/>
      </w:pPr>
      <w:r>
        <w:t>Fallback Media Sovereignty:</w:t>
      </w:r>
    </w:p>
    <w:p>
      <w:pPr>
        <w:pStyle w:val="ListBullet"/>
      </w:pPr>
      <w:r>
        <w:t>In the event of a storage corruption or missing asset, the system employs 'Media Identity Verification'. Every asset is checksummed during the sync phase. If an asset is missing locally and the network is down, the UI renders a professional local 'placeholder' asset to ensure the visual flow of the simulation is never compromised by a broken link.</w:t>
      </w:r>
    </w:p>
    <w:p>
      <w:pPr>
        <w:pStyle w:val="Heading1"/>
      </w:pPr>
      <w:r>
        <w:t>5. Conclusion</w:t>
      </w:r>
    </w:p>
    <w:p>
      <w:r>
        <w:t>This 'Cloud-Synced, Local-First' strategy ensures that the JA BizTown 3.0 experience is physically impossible to break through internet failure, providing JA Areas with the highest level of operational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