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Strategy: Multi-Tenant Isolation &amp; Row-Level Security</w:t>
      </w:r>
    </w:p>
    <w:p>
      <w:pPr>
        <w:jc w:val="center"/>
      </w:pPr>
      <w:r>
        <w:t>Infrastructure-Level Data Segregation for JA BizTown 3.0</w:t>
      </w:r>
    </w:p>
    <w:p>
      <w:r>
        <w:br/>
      </w:r>
    </w:p>
    <w:p>
      <w:pPr>
        <w:pStyle w:val="Heading1"/>
      </w:pPr>
      <w:r>
        <w:t>1. The Multi-Tenancy Mandate</w:t>
      </w:r>
    </w:p>
    <w:p>
      <w:r>
        <w:t>For a national deployment across nearly 50 JA Areas, absolute data isolation is non-negotiable. A 'California Admin' must never be able to view, edit, or delete data belonging to 'New York State'. JA BizTown 3.0 solves this using a Dual-Layered Security model.</w:t>
      </w:r>
    </w:p>
    <w:p>
      <w:pPr>
        <w:pStyle w:val="Heading1"/>
      </w:pPr>
      <w:r>
        <w:t>2. Layer 1: Application-Level Interception</w:t>
      </w:r>
    </w:p>
    <w:p>
      <w:r>
        <w:t xml:space="preserve">At the CMS level, we implement automated query injection using Strapi Global Middlewares and Lifecycle Hooks. </w:t>
      </w:r>
    </w:p>
    <w:p>
      <w:pPr>
        <w:pStyle w:val="ListBullet"/>
      </w:pPr>
      <w:r>
        <w:t>Tenant-Aware Auth: All administrative users are tagged with a 'JA_Area_Identity' claim.</w:t>
      </w:r>
    </w:p>
    <w:p>
      <w:pPr>
        <w:pStyle w:val="ListBullet"/>
      </w:pPr>
      <w:r>
        <w:t>Global Filter Injection: Every API request is intercepted. The 'where' clause of the query is automatically augmented with the Admin's Area ID, preventing 'leaky' endpoints from exposing cross-tenant data.</w:t>
      </w:r>
    </w:p>
    <w:p>
      <w:pPr>
        <w:pStyle w:val="Heading1"/>
      </w:pPr>
      <w:r>
        <w:t>3. Layer 2: Infrastructure-Level RLS (Standard)</w:t>
      </w:r>
    </w:p>
    <w:p>
      <w:r>
        <w:t>To achieve enterprise-grade security, we implement Row-Level Security (RLS) at the Azure SQL database level. This acts as a 'last line of defense' that is independent of the application code.</w:t>
      </w:r>
    </w:p>
    <w:p>
      <w:pPr>
        <w:pStyle w:val="ListBullet"/>
      </w:pPr>
      <w:r>
        <w:t>Security Predicates: SQL Server Security Policies are defined to restrict row visibility based on 'SESSION_CONTEXT'.</w:t>
      </w:r>
    </w:p>
    <w:p>
      <w:pPr>
        <w:pStyle w:val="ListBullet"/>
      </w:pPr>
      <w:r>
        <w:t>Hardware Enforcement: If a query is executed without an Area filter, the SQL engine returns zero results for rows that do not belong to the active session's Tenant ID. This physically prevents data leakage even in the event of an application-level vulnerability.</w:t>
      </w:r>
    </w:p>
    <w:p>
      <w:pPr>
        <w:pStyle w:val="Heading1"/>
      </w:pPr>
      <w:r>
        <w:t>4. Admin Panel Integrity</w:t>
      </w:r>
    </w:p>
    <w:p>
      <w:r>
        <w:t>To ensure a seamless experience, the Strapi Admin Panel is customized to be 'Tenant-Blind'. Admins only see assets (Media), product lists, and student records belonging to their area. Cross-area reporting is reserved for 'National Admin' roles with elevated global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