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 BizTown 3.0: Technology Stack Justification</w:t>
      </w:r>
    </w:p>
    <w:p>
      <w:r>
        <w:br/>
      </w:r>
    </w:p>
    <w:p>
      <w:pPr>
        <w:pStyle w:val="Heading1"/>
      </w:pPr>
      <w:r>
        <w:t>1. CMS Choice: Strapi (Headless)</w:t>
      </w:r>
    </w:p>
    <w:p>
      <w:r>
        <w:t>For the modernized JA BizTown simulation, we have selected Strapi as the foundational Content Management System. Justification includes:</w:t>
      </w:r>
    </w:p>
    <w:p>
      <w:pPr>
        <w:pStyle w:val="ListBullet"/>
      </w:pPr>
      <w:r>
        <w:t>Open-Source Flexibility: Allows for deep customization of the relational schema to support complex local-area overrides.</w:t>
      </w:r>
    </w:p>
    <w:p>
      <w:pPr>
        <w:pStyle w:val="ListBullet"/>
      </w:pPr>
      <w:r>
        <w:t>API-First Design: Native REST and GraphQL support makes it a perfect partner for the React Native frontend.</w:t>
      </w:r>
    </w:p>
    <w:p>
      <w:pPr>
        <w:pStyle w:val="ListBullet"/>
      </w:pPr>
      <w:r>
        <w:t>Role-Based Access Control (RBAC): Provides the granular permissioning needed for National vs. Local Area admins.</w:t>
      </w:r>
    </w:p>
    <w:p>
      <w:pPr>
        <w:pStyle w:val="Heading1"/>
      </w:pPr>
      <w:r>
        <w:t>2. AI Integration: Azure OpenAI (GPT-4o-mini)</w:t>
      </w:r>
    </w:p>
    <w:p>
      <w:r>
        <w:t>To power 'Cognitive Scaffolding' features (Slogans/Speeches), we propose GPT-4o-mini for its superior balance of speed, cost, and safety.</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Usage Variable</w:t>
            </w:r>
          </w:p>
        </w:tc>
        <w:tc>
          <w:tcPr>
            <w:tcW w:type="dxa" w:w="2880"/>
          </w:tcPr>
          <w:p>
            <w:r>
              <w:t>Calculation</w:t>
            </w:r>
          </w:p>
        </w:tc>
        <w:tc>
          <w:tcPr>
            <w:tcW w:type="dxa" w:w="2880"/>
          </w:tcPr>
          <w:p>
            <w:r>
              <w:t>Estimated Cost (National)</w:t>
            </w:r>
          </w:p>
        </w:tc>
      </w:tr>
      <w:tr>
        <w:tc>
          <w:tcPr>
            <w:tcW w:type="dxa" w:w="2880"/>
          </w:tcPr>
          <w:p>
            <w:r>
              <w:t>Slogan Generation</w:t>
            </w:r>
          </w:p>
        </w:tc>
        <w:tc>
          <w:tcPr>
            <w:tcW w:type="dxa" w:w="2880"/>
          </w:tcPr>
          <w:p>
            <w:r>
              <w:t>600k students x 3 attempts</w:t>
            </w:r>
          </w:p>
        </w:tc>
        <w:tc>
          <w:tcPr>
            <w:tcW w:type="dxa" w:w="2880"/>
          </w:tcPr>
          <w:p>
            <w:r>
              <w:t>$90.00 / year</w:t>
            </w:r>
          </w:p>
        </w:tc>
      </w:tr>
      <w:tr>
        <w:tc>
          <w:tcPr>
            <w:tcW w:type="dxa" w:w="2880"/>
          </w:tcPr>
          <w:p>
            <w:r>
              <w:t>Speech Transcription</w:t>
            </w:r>
          </w:p>
        </w:tc>
        <w:tc>
          <w:tcPr>
            <w:tcW w:type="dxa" w:w="2880"/>
          </w:tcPr>
          <w:p>
            <w:r>
              <w:t>600k students x 1 speech</w:t>
            </w:r>
          </w:p>
        </w:tc>
        <w:tc>
          <w:tcPr>
            <w:tcW w:type="dxa" w:w="2880"/>
          </w:tcPr>
          <w:p>
            <w:r>
              <w:t>$110.00 / year</w:t>
            </w:r>
          </w:p>
        </w:tc>
      </w:tr>
      <w:tr>
        <w:tc>
          <w:tcPr>
            <w:tcW w:type="dxa" w:w="2880"/>
          </w:tcPr>
          <w:p>
            <w:r>
              <w:t>Azure Content Safety</w:t>
            </w:r>
          </w:p>
        </w:tc>
        <w:tc>
          <w:tcPr>
            <w:tcW w:type="dxa" w:w="2880"/>
          </w:tcPr>
          <w:p>
            <w:r>
              <w:t>Per request overhead</w:t>
            </w:r>
          </w:p>
        </w:tc>
        <w:tc>
          <w:tcPr>
            <w:tcW w:type="dxa" w:w="2880"/>
          </w:tcPr>
          <w:p>
            <w:r>
              <w:t>$40.00 / year</w:t>
            </w:r>
          </w:p>
        </w:tc>
      </w:tr>
    </w:tbl>
    <w:p>
      <w:pPr>
        <w:pStyle w:val="Heading1"/>
      </w:pPr>
      <w:r>
        <w:t>4. Unified Hardware Strategy: Tablet-as-a-POS</w:t>
      </w:r>
    </w:p>
    <w:p>
      <w:r>
        <w:t>To maximize cost-efficiency and simplify support, the JA BizTown 3.0 ecosystem is designed to run exclusively on standard tablets. There is no requirement for proprietary POS hardware. Instead, the Shopkeeper application includes an Integrated POS Module that utilizes the tablet's native camera for QR scanning and its secure storage for local ledger commits.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