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CMS Architecture Alternatives for JA BizTown 3.0</w:t>
      </w:r>
    </w:p>
    <w:p>
      <w:pPr>
        <w:jc w:val="center"/>
      </w:pPr>
      <w:r>
        <w:t>Strategic Analysis of National-to-State Content Inheritance Models</w:t>
      </w:r>
    </w:p>
    <w:p>
      <w:r>
        <w:br/>
      </w:r>
    </w:p>
    <w:p>
      <w:pPr>
        <w:pStyle w:val="Heading1"/>
      </w:pPr>
      <w:r>
        <w:t>1. The National-to-State Inheritance Challenge</w:t>
      </w:r>
    </w:p>
    <w:p>
      <w:r>
        <w:t>For JA BizTown 3.0, the core requirement is to maintain a 'Master Template' curated at the National level while allowing regional/state offices to customize local operational data (sponsors, job roles, localized branding) without de-syncing from the central curriculum.</w:t>
      </w:r>
    </w:p>
    <w:p>
      <w:pPr>
        <w:pStyle w:val="Heading1"/>
      </w:pPr>
      <w:r>
        <w:t>2. CMS Technology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WordPress Multisite</w:t>
            </w:r>
          </w:p>
        </w:tc>
        <w:tc>
          <w:tcPr>
            <w:tcW w:type="dxa" w:w="2160"/>
          </w:tcPr>
          <w:p>
            <w:r>
              <w:t>Omni CMS (WXP)</w:t>
            </w:r>
          </w:p>
        </w:tc>
        <w:tc>
          <w:tcPr>
            <w:tcW w:type="dxa" w:w="2160"/>
          </w:tcPr>
          <w:p>
            <w:r>
              <w:t>Headless (e.g., Directus)</w:t>
            </w:r>
          </w:p>
        </w:tc>
      </w:tr>
      <w:tr>
        <w:tc>
          <w:tcPr>
            <w:tcW w:type="dxa" w:w="2160"/>
          </w:tcPr>
          <w:p>
            <w:r>
              <w:t>Inheritance Model</w:t>
            </w:r>
          </w:p>
        </w:tc>
        <w:tc>
          <w:tcPr>
            <w:tcW w:type="dxa" w:w="2160"/>
          </w:tcPr>
          <w:p>
            <w:r>
              <w:t>Multisite/Child Themes</w:t>
            </w:r>
          </w:p>
        </w:tc>
        <w:tc>
          <w:tcPr>
            <w:tcW w:type="dxa" w:w="2160"/>
          </w:tcPr>
          <w:p>
            <w:r>
              <w:t>Dependency Manager</w:t>
            </w:r>
          </w:p>
        </w:tc>
        <w:tc>
          <w:tcPr>
            <w:tcW w:type="dxa" w:w="2160"/>
          </w:tcPr>
          <w:p>
            <w:r>
              <w:t>Relational/Data-Level</w:t>
            </w:r>
          </w:p>
        </w:tc>
      </w:tr>
      <w:tr>
        <w:tc>
          <w:tcPr>
            <w:tcW w:type="dxa" w:w="2160"/>
          </w:tcPr>
          <w:p>
            <w:r>
              <w:t>Simulation Speed</w:t>
            </w:r>
          </w:p>
        </w:tc>
        <w:tc>
          <w:tcPr>
            <w:tcW w:type="dxa" w:w="2160"/>
          </w:tcPr>
          <w:p>
            <w:r>
              <w:t>Moderate (Page-based)</w:t>
            </w:r>
          </w:p>
        </w:tc>
        <w:tc>
          <w:tcPr>
            <w:tcW w:type="dxa" w:w="2160"/>
          </w:tcPr>
          <w:p>
            <w:r>
              <w:t>Low (Dynamic lag)</w:t>
            </w:r>
          </w:p>
        </w:tc>
        <w:tc>
          <w:tcPr>
            <w:tcW w:type="dxa" w:w="2160"/>
          </w:tcPr>
          <w:p>
            <w:r>
              <w:t>High (API-First)</w:t>
            </w:r>
          </w:p>
        </w:tc>
      </w:tr>
      <w:tr>
        <w:tc>
          <w:tcPr>
            <w:tcW w:type="dxa" w:w="2160"/>
          </w:tcPr>
          <w:p>
            <w:r>
              <w:t>Cost / Licensing</w:t>
            </w:r>
          </w:p>
        </w:tc>
        <w:tc>
          <w:tcPr>
            <w:tcW w:type="dxa" w:w="2160"/>
          </w:tcPr>
          <w:p>
            <w:r>
              <w:t>Low (Open Source)</w:t>
            </w:r>
          </w:p>
        </w:tc>
        <w:tc>
          <w:tcPr>
            <w:tcW w:type="dxa" w:w="2160"/>
          </w:tcPr>
          <w:p>
            <w:r>
              <w:t>High (Enterprise)</w:t>
            </w:r>
          </w:p>
        </w:tc>
        <w:tc>
          <w:tcPr>
            <w:tcW w:type="dxa" w:w="2160"/>
          </w:tcPr>
          <w:p>
            <w:r>
              <w:t>Moderate (Custom)</w:t>
            </w:r>
          </w:p>
        </w:tc>
      </w:tr>
      <w:tr>
        <w:tc>
          <w:tcPr>
            <w:tcW w:type="dxa" w:w="2160"/>
          </w:tcPr>
          <w:p>
            <w:r>
              <w:t>Aesthetic Control</w:t>
            </w:r>
          </w:p>
        </w:tc>
        <w:tc>
          <w:tcPr>
            <w:tcW w:type="dxa" w:w="2160"/>
          </w:tcPr>
          <w:p>
            <w:r>
              <w:t>Individual per site</w:t>
            </w:r>
          </w:p>
        </w:tc>
        <w:tc>
          <w:tcPr>
            <w:tcW w:type="dxa" w:w="2160"/>
          </w:tcPr>
          <w:p>
            <w:r>
              <w:t>Centralized locking</w:t>
            </w:r>
          </w:p>
        </w:tc>
        <w:tc>
          <w:tcPr>
            <w:tcW w:type="dxa" w:w="2160"/>
          </w:tcPr>
          <w:p>
            <w:r>
              <w:t>100% Custom Control</w:t>
            </w:r>
          </w:p>
        </w:tc>
      </w:tr>
    </w:tbl>
    <w:p>
      <w:pPr>
        <w:pStyle w:val="Heading1"/>
      </w:pPr>
      <w:r>
        <w:t>3. Detailed Platform Analysis</w:t>
      </w:r>
    </w:p>
    <w:p>
      <w:pPr>
        <w:pStyle w:val="Heading2"/>
      </w:pPr>
      <w:r>
        <w:t>Schema Modularity &amp; Developer Experience</w:t>
      </w:r>
    </w:p>
    <w:p>
      <w:r>
        <w:t>A critical operational factor is how the CMS handles the creation of new Simulation Templates or Database Models:</w:t>
      </w:r>
    </w:p>
    <w:p>
      <w:pPr>
        <w:pStyle w:val="ListBullet"/>
      </w:pPr>
      <w:r>
        <w:t>Code-First Headless (e.g., Strapi): Requires a backend server restart when new content types are created. This enforces strict Git version control but prevents non-developer administrators from building new templates on-the-fly in production.</w:t>
      </w:r>
    </w:p>
    <w:p>
      <w:pPr>
        <w:pStyle w:val="ListBullet"/>
      </w:pPr>
      <w:r>
        <w:t>Dynamic Headless (e.g., Directus): Connects directly to the SQL database. When a user creates a new Template via the GUI, it alters the SQL schema in real-time. Zero server restarts are required, providing maximum agility.</w:t>
      </w:r>
    </w:p>
    <w:p>
      <w:pPr>
        <w:pStyle w:val="ListBullet"/>
      </w:pPr>
      <w:r>
        <w:t>Traditional Dynamic (e.g., WordPress + ACF): Administrators can build complex templates in real-time without server restarts. However, extracting deep structural data for the .NET engine via the WP REST API is significantly slower and harder to merge than true Headless JSON.</w:t>
      </w:r>
    </w:p>
    <w:p>
      <w:pPr>
        <w:pStyle w:val="Heading2"/>
      </w:pPr>
      <w:r>
        <w:t>Omni CMS (Higher-Ed Focused)</w:t>
      </w:r>
    </w:p>
    <w:p>
      <w:r>
        <w:t>Highly optimized for distributed authoring. While its dependency manager is best-in-class for traditional websites, it may be over-engineered for a real-time simulation logic engine and carries excessive licensing costs.</w:t>
      </w:r>
    </w:p>
    <w:p>
      <w:pPr>
        <w:pStyle w:val="Heading2"/>
      </w:pPr>
      <w:r>
        <w:t>Headless CMS (Modern Choice)</w:t>
      </w:r>
    </w:p>
    <w:p>
      <w:r>
        <w:t>By decoupling content from the frontend, a Headless CMS allows 'National' to manage the curriculum database independently. This data is served as JSON to the .NET simulation engine, providing the perfect balance of inheritance and performance.</w:t>
      </w:r>
    </w:p>
    <w:p>
      <w:pPr>
        <w:pStyle w:val="Heading2"/>
      </w:pPr>
      <w:r>
        <w:t>Multi-Tenant Scaling &amp; API Filtering</w:t>
      </w:r>
    </w:p>
    <w:p>
      <w:r>
        <w:t>The Relational Headless architecture natively supports massive horizontal scaling for local customizations. If 50 different states override a curriculum field differently, the database stores exactly 50 lightweight 'Delta-Shadow' rows in the Local Template collection, safely mapped to the National parent via Foreign Key, rather than duplicating the entire curriculum payload 50 times.</w:t>
      </w:r>
    </w:p>
    <w:p>
      <w:r>
        <w:t>Crucially, the API logic remains strictly decoupled and performant. The .NET engine only ever fetches the specific state currently running (e.g., executing a single targeted query like `GET /api/local-templates?filter[state_code]=CA`). The system never loads competing state templates into memory, guaranteeing consistent sub-second API performance regardless of how many thousands of regional templates exist nationwide.</w:t>
      </w:r>
    </w:p>
    <w:p>
      <w:pPr>
        <w:pStyle w:val="Heading1"/>
      </w:pPr>
      <w:r>
        <w:t>4. Cost Projection &amp; Financial Comparison</w:t>
      </w:r>
    </w:p>
    <w:p>
      <w:r>
        <w:t>Pricing for Enterprise CMS solutions is typically tiered based on seats, traffic, and sites. The following table provides 2024/2025 'Starting At' estimates for a standard organization of JA's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Estimated Cost (Annual)</w:t>
            </w:r>
          </w:p>
        </w:tc>
        <w:tc>
          <w:tcPr>
            <w:tcW w:type="dxa" w:w="2880"/>
          </w:tcPr>
          <w:p>
            <w:r>
              <w:t>Source Citation</w:t>
            </w:r>
          </w:p>
        </w:tc>
      </w:tr>
      <w:tr>
        <w:tc>
          <w:tcPr>
            <w:tcW w:type="dxa" w:w="2880"/>
          </w:tcPr>
          <w:p>
            <w:r>
              <w:t>WordPress VIP</w:t>
            </w:r>
          </w:p>
        </w:tc>
        <w:tc>
          <w:tcPr>
            <w:tcW w:type="dxa" w:w="2880"/>
          </w:tcPr>
          <w:p>
            <w:r>
              <w:t>$25,000 - $60,000+ / Yearly</w:t>
            </w:r>
          </w:p>
        </w:tc>
        <w:tc>
          <w:tcPr>
            <w:tcW w:type="dxa" w:w="2880"/>
          </w:tcPr>
          <w:p>
            <w:r>
              <w:t>WPVIP Estimates / G2 Reviews</w:t>
            </w:r>
          </w:p>
        </w:tc>
      </w:tr>
      <w:tr>
        <w:tc>
          <w:tcPr>
            <w:tcW w:type="dxa" w:w="2880"/>
          </w:tcPr>
          <w:p>
            <w:r>
              <w:t>Omni CMS (Modern Campus)</w:t>
            </w:r>
          </w:p>
        </w:tc>
        <w:tc>
          <w:tcPr>
            <w:tcW w:type="dxa" w:w="2880"/>
          </w:tcPr>
          <w:p>
            <w:r>
              <w:t>$15,000 - $35,000+ / Yearly</w:t>
            </w:r>
          </w:p>
        </w:tc>
        <w:tc>
          <w:tcPr>
            <w:tcW w:type="dxa" w:w="2880"/>
          </w:tcPr>
          <w:p>
            <w:r>
              <w:t>Modern Campus Peer Benchmarking</w:t>
            </w:r>
          </w:p>
        </w:tc>
      </w:tr>
      <w:tr>
        <w:tc>
          <w:tcPr>
            <w:tcW w:type="dxa" w:w="2880"/>
          </w:tcPr>
          <w:p>
            <w:r>
              <w:t>Headless (Directus/Strapi)</w:t>
            </w:r>
          </w:p>
        </w:tc>
        <w:tc>
          <w:tcPr>
            <w:tcW w:type="dxa" w:w="2880"/>
          </w:tcPr>
          <w:p>
            <w:r>
              <w:t>$12,000 - $20,000+ / Yearly*</w:t>
            </w:r>
          </w:p>
        </w:tc>
        <w:tc>
          <w:tcPr>
            <w:tcW w:type="dxa" w:w="2880"/>
          </w:tcPr>
          <w:p>
            <w:r>
              <w:t>Directus.io / Strapi.io Enterprise Cloud</w:t>
            </w:r>
          </w:p>
        </w:tc>
      </w:tr>
    </w:tbl>
    <w:p>
      <w:r>
        <w:t>*Note: Self-hosted 'Community' editions for Headless CMS may be acquired for $0, reducing costs strictly to infrastructure.</w:t>
      </w:r>
    </w:p>
    <w:p>
      <w:pPr>
        <w:pStyle w:val="Heading1"/>
      </w:pPr>
      <w:r>
        <w:t>5. The "Headless Hybrid" Recommendation</w:t>
      </w:r>
    </w:p>
    <w:p>
      <w:r>
        <w:t>We recommend a hybrid approach to maximize both flexibility and budget-efficiency:</w:t>
      </w:r>
    </w:p>
    <w:p>
      <w:pPr>
        <w:pStyle w:val="ListBullet"/>
      </w:pPr>
      <w:r>
        <w:t>Content Management: Headless CMS (Directus) for localized text and curriculum data.</w:t>
      </w:r>
    </w:p>
    <w:p>
      <w:pPr>
        <w:pStyle w:val="ListBullet"/>
      </w:pPr>
      <w:r>
        <w:t>Real-Time Logic: Integrated .NET Core API / SQL Server using Stored Procedures.</w:t>
      </w:r>
    </w:p>
    <w:p>
      <w:pPr>
        <w:pStyle w:val="ListBullet"/>
      </w:pPr>
      <w:r>
        <w:t>Financial Impact: Redirects $20k-$40k/yr in potential licensing savings toward gamification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