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Governance: 30-Day Anonymization Strategy</w:t>
      </w:r>
    </w:p>
    <w:p>
      <w:pPr>
        <w:jc w:val="center"/>
      </w:pPr>
      <w:r>
        <w:t>Compliance-First Privacy for JA BizTown 3.0 Students</w:t>
      </w:r>
    </w:p>
    <w:p>
      <w:r>
        <w:br/>
      </w:r>
    </w:p>
    <w:p>
      <w:pPr>
        <w:pStyle w:val="Heading1"/>
      </w:pPr>
      <w:r>
        <w:t>1. The "Privacy-by-Design" Mandate</w:t>
      </w:r>
    </w:p>
    <w:p>
      <w:r>
        <w:t>To ensure compliance with student privacy regulations (COPPA/FERPA), the simulation platform implements an automated 30-day PII (Personally Identifiable Information) purge. The objective is to eliminate sensitive student data while preserving the high-value analytical metadata (e.g., business outcomes, XP accumulation) required for National JA reporting.</w:t>
      </w:r>
    </w:p>
    <w:p>
      <w:pPr>
        <w:pStyle w:val="Heading1"/>
      </w:pPr>
      <w:r>
        <w:t>2. The Anonymization Pipeline</w:t>
      </w:r>
    </w:p>
    <w:p>
      <w:pPr>
        <w:pStyle w:val="Heading2"/>
      </w:pPr>
      <w:r>
        <w:t>Azure Timer-Trigger Execution:</w:t>
      </w:r>
    </w:p>
    <w:p>
      <w:r>
        <w:t>A serverless Azure Function is scheduled to run every 24 hours. The function scans the simulation records for any sessions where the 'SimulationEndDate' is 31 days or more in the past.</w:t>
      </w:r>
    </w:p>
    <w:p>
      <w:pPr>
        <w:pStyle w:val="Heading2"/>
      </w:pPr>
      <w:r>
        <w:t>SQL Batch Scrubbing (Stored Procedures):</w:t>
      </w:r>
    </w:p>
    <w:p>
      <w:r>
        <w:t>In accordance with our SQL-first architecture, the Azure Function calls a specific 'USP_Anonymize_Simulation_Data' stored procedure. This batch process performs the following non-reversible operations:</w:t>
      </w:r>
    </w:p>
    <w:p>
      <w:pPr>
        <w:pStyle w:val="ListBullet"/>
      </w:pPr>
      <w:r>
        <w:t>PII Scrubbing: Student names are updated to a generic identifier (e.g., 'Student_####') in the central SQL database.</w:t>
      </w:r>
    </w:p>
    <w:p>
      <w:pPr>
        <w:pStyle w:val="ListBullet"/>
      </w:pPr>
      <w:r>
        <w:t>Audit Trail Sanitization: The transaction history preserves the 'Amount' and 'To/From Business', but specific student IDs are replaced with anonymized tokens.</w:t>
      </w:r>
    </w:p>
    <w:p>
      <w:pPr>
        <w:pStyle w:val="ListBullet"/>
      </w:pPr>
      <w:r>
        <w:t>Document Discard: All CEO speeches (transcriptions) and CMO advertisements containing potential customized text are either deleted or purged from Azure Blob Storage.</w:t>
      </w:r>
    </w:p>
    <w:p>
      <w:pPr>
        <w:pStyle w:val="Heading1"/>
      </w:pPr>
      <w:r>
        <w:t>3. Analytical Integrity (Power BI / Synapse)</w:t>
      </w:r>
    </w:p>
    <w:p>
      <w:r>
        <w:t>Anonymization does not mean data loss. For long-term JA USA reporting, we preserve the 'De-Identified' record set:</w:t>
      </w:r>
    </w:p>
    <w:p>
      <w:pPr>
        <w:pStyle w:val="ListBullet"/>
      </w:pPr>
      <w:r>
        <w:t>XP &amp; Achievement Totals: National JA can still track average XP gain per role to measure curriculum effectiveness.</w:t>
      </w:r>
    </w:p>
    <w:p>
      <w:pPr>
        <w:pStyle w:val="ListBullet"/>
      </w:pPr>
      <w:r>
        <w:t>Business Financials: Business revenue, debt repayment, and donation metrics remain fully intact for longitudinal study.</w:t>
      </w:r>
    </w:p>
    <w:p>
      <w:pPr>
        <w:pStyle w:val="ListBullet"/>
      </w:pPr>
      <w:r>
        <w:t>Grade-Level Benchmarks: The student's grade level is preserved to allow for age-appropriate outcome analysis without needing the student's personal identity.</w:t>
      </w:r>
    </w:p>
    <w:p>
      <w:pPr>
        <w:pStyle w:val="Heading1"/>
      </w:pPr>
      <w:r>
        <w:t>4. Conclusion</w:t>
      </w:r>
    </w:p>
    <w:p>
      <w:r>
        <w:t>This automated 'Zero-Manual-Effort' strategy ensures that JA remains in constant alignment with the highest standards of data privacy, mitigating legal risks while maximizing the utility of global simulation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