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Architecture &amp; Privacy Governance Strategy</w:t>
      </w:r>
    </w:p>
    <w:p>
      <w:pPr>
        <w:jc w:val="center"/>
      </w:pPr>
      <w:r>
        <w:t>Security, Compliance, and National Analytical Scalability</w:t>
      </w:r>
    </w:p>
    <w:p>
      <w:r>
        <w:br/>
      </w:r>
    </w:p>
    <w:p>
      <w:pPr>
        <w:pStyle w:val="Heading1"/>
      </w:pPr>
      <w:r>
        <w:t>1. Ephemeral Session-Based Identity</w:t>
      </w:r>
    </w:p>
    <w:p>
      <w:r>
        <w:t>To minimize data exposure, JA BizTown 3.0 utilizes a session-based student model. Students are not assigned permanent 'User Accounts' with PII. Instead, they are provisioned as 'Simulation Identities' linked strictly to a specific 1-day simulation event. Once the session expires, the link between the device and the data is severed.</w:t>
      </w:r>
    </w:p>
    <w:p>
      <w:pPr>
        <w:pStyle w:val="Heading1"/>
      </w:pPr>
      <w:r>
        <w:t>2. Multi-Tenant Data Isolation (RLS)</w:t>
      </w:r>
    </w:p>
    <w:p>
      <w:r>
        <w:t>Data isolation is enforced at the database level using Row-Level Security (RLS) in Azure SQL. Each JA Area is assigned a unique 'Tenant Key'. All queries executed by the application are automatically filtered by this key, ensuring that Local Area A can never inadvertently access or modify data from Local Area B.</w:t>
      </w:r>
    </w:p>
    <w:p>
      <w:pPr>
        <w:pStyle w:val="Heading1"/>
      </w:pPr>
      <w:r>
        <w:t>3. Tiered Logging &amp; Retention Lifecycle</w:t>
      </w:r>
    </w:p>
    <w:p>
      <w:r>
        <w:t>We implement a dual-tier logging strategy to balance performance and compliance:</w:t>
      </w:r>
    </w:p>
    <w:p>
      <w:pPr>
        <w:pStyle w:val="ListBullet"/>
      </w:pPr>
      <w:r>
        <w:t>7-Day Operational Tier: High-verbosity logs used for day-of troubleshooting. These are purged weekly to minimize storage costs.</w:t>
      </w:r>
    </w:p>
    <w:p>
      <w:pPr>
        <w:pStyle w:val="ListBullet"/>
      </w:pPr>
      <w:r>
        <w:t>30-Day Audit Tier: Structured logs tracking critical system changes, authentication events, and financial adjustments. These are stored for 30 days to support post-simulation review.</w:t>
      </w:r>
    </w:p>
    <w:p>
      <w:pPr>
        <w:pStyle w:val="ListBullet"/>
      </w:pPr>
      <w:r>
        <w:t>30-Day Anonymization: As previously documented, all PII is scrubbed 30 days after simulation completion, leaving only de-identified analytical data.</w:t>
      </w:r>
    </w:p>
    <w:p>
      <w:pPr>
        <w:pStyle w:val="Heading1"/>
      </w:pPr>
      <w:r>
        <w:t>4. COPPA &amp; Privacy-by-Design</w:t>
      </w:r>
    </w:p>
    <w:p>
      <w:r>
        <w:t>The platform is architected to be fundamentally COPPA-compliant by design. The system does not collect, store, or transmit emails, personal phone numbers, or residential addresses of students. Authentication is handled via School-issued PINs or one-time use QR codes, ensuring zero tracking across different simulation sessions.</w:t>
      </w:r>
    </w:p>
    <w:p>
      <w:pPr>
        <w:pStyle w:val="Heading1"/>
      </w:pPr>
      <w:r>
        <w:t>5. National Reporting: Power BI Pipeline</w:t>
      </w:r>
    </w:p>
    <w:p>
      <w:r>
        <w:t>To provide National JA USA with real-time insights, we implement a 'Low-Latency Export Pipeline'. Using Azure Data Factory, de-identified metrics (XP gain, business revenue, sponsorship ROI) are streamed from the operational SQL database to a Power BI staging environment. This ensures national leadership can monitor curriculum impact without touching protected local data.</w:t>
      </w:r>
    </w:p>
    <w:p>
      <w:pPr>
        <w:pStyle w:val="Heading1"/>
      </w:pPr>
      <w:r>
        <w:t>6. Sponsor ROI &amp; Engagement Tracking</w:t>
      </w:r>
    </w:p>
    <w:p>
      <w:r>
        <w:t>The relational model in Strapi connects every Business to its Local Sponsor. The system tracks sponsorship-specific events (e.g., 'Advertisement viewed', 'Product purchased from sponsor business'). These metrics are consolidated into 'Sponsor Value Reports' provided back to local JA Areas to help retain and attract business partners.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