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Disaster Recovery &amp; Full State Recovery Strategy</w:t>
      </w:r>
    </w:p>
    <w:p>
      <w:pPr>
        <w:jc w:val="center"/>
      </w:pPr>
      <w:r>
        <w:t>Architecting Zero-Loss Resilience for JA BizTown 3.0</w:t>
      </w:r>
    </w:p>
    <w:p>
      <w:r>
        <w:br/>
      </w:r>
    </w:p>
    <w:p>
      <w:pPr>
        <w:pStyle w:val="Heading1"/>
      </w:pPr>
      <w:r>
        <w:t>1. The Business Continuity Standard</w:t>
      </w:r>
    </w:p>
    <w:p>
      <w:r>
        <w:t>JA BizTown simulations are live, high-energy events. Any downtime or data loss directly impacts the student experience. Our recovery strategy focuses on two critical metrics:</w:t>
      </w:r>
    </w:p>
    <w:p>
      <w:pPr>
        <w:pStyle w:val="ListBullet"/>
      </w:pPr>
      <w:r>
        <w:t>Recovery Point Objective (RPO): &lt; 5 minutes (Maximum data loss allowable in a disaster).</w:t>
      </w:r>
    </w:p>
    <w:p>
      <w:pPr>
        <w:pStyle w:val="ListBullet"/>
      </w:pPr>
      <w:r>
        <w:t>Recovery Time Objective (RTO): &lt; 15 minutes (Maximum time to restore service in a new region).</w:t>
      </w:r>
    </w:p>
    <w:p>
      <w:pPr>
        <w:pStyle w:val="Heading1"/>
      </w:pPr>
      <w:r>
        <w:t>2. Multi-Region Failover Strategy</w:t>
      </w:r>
    </w:p>
    <w:p>
      <w:r>
        <w:t>To guarantee 99.99% availability, the platform is deployed in a 'Warm Standby' configuration across two Azure Geographies (e.g., East US and West US).</w:t>
      </w:r>
    </w:p>
    <w:p>
      <w:pPr>
        <w:pStyle w:val="ListBullet"/>
      </w:pPr>
      <w:r>
        <w:t>Global Traffic Management: Azure Front Door routes users to the healthy region. If the primary region fails, traffic is rerouted in seconds.</w:t>
      </w:r>
    </w:p>
    <w:p>
      <w:pPr>
        <w:pStyle w:val="ListBullet"/>
      </w:pPr>
      <w:r>
        <w:t>Geo-Replicated SQL: The Azure SQL database uses Active Geo-Replication, where a secondary database is constantly kept in sync with the primary.</w:t>
      </w:r>
    </w:p>
    <w:p>
      <w:pPr>
        <w:pStyle w:val="Heading1"/>
      </w:pPr>
      <w:r>
        <w:t>3. Full State Recovery (FSR) Mechanism</w:t>
      </w:r>
    </w:p>
    <w:p>
      <w:r>
        <w:t>Recovering the infrastructure is only half the battle; we must also recover the specific 'Phase' and 'Pulse' of the live simulation.</w:t>
      </w:r>
    </w:p>
    <w:p>
      <w:pPr>
        <w:pStyle w:val="ListBullet"/>
      </w:pPr>
      <w:r>
        <w:t>Atomic State Snapshots: Every 60 seconds, the simulation 'Pulse' (active phase, role assignments, latest transactions) is serialized and stored in an append-only state log.</w:t>
      </w:r>
    </w:p>
    <w:p>
      <w:pPr>
        <w:pStyle w:val="ListBullet"/>
      </w:pPr>
      <w:r>
        <w:t>One-Click Simulation Resume: In the event of a crash, the Simulation Manager is presented with a 'Resume from Last Pulse' option. This re-populates the SignalR groups and pushes the current state to all 150+ student devices instantly.</w:t>
      </w:r>
    </w:p>
    <w:p>
      <w:pPr>
        <w:pStyle w:val="ListBullet"/>
      </w:pPr>
      <w:r>
        <w:t>Client-Side PWA/Native Cache: While the server recovers, student tablets remain in 'Degraded Mode' using their local IndexedDB cache, ensuring they can still perform basic tasks during the restoration window.</w:t>
      </w:r>
    </w:p>
    <w:p>
      <w:pPr>
        <w:pStyle w:val="Heading1"/>
      </w:pPr>
      <w:r>
        <w:t>4. Point-In-Time Recovery (PITR)</w:t>
      </w:r>
    </w:p>
    <w:p>
      <w:r>
        <w:t>Beyond catastrophic region failure, we protect against accidental data corruption via PITR. We maintain 35 days of automated backups with 'second-by-second' granularity, allowing us to roll the entire simulation back to a specific timestamp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