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Strategy: Dynamic UI Adaptation</w:t>
      </w:r>
    </w:p>
    <w:p>
      <w:pPr>
        <w:jc w:val="center"/>
      </w:pPr>
      <w:r>
        <w:t>Architecting Resilience for Multi-Language Fluidity</w:t>
      </w:r>
    </w:p>
    <w:p>
      <w:r>
        <w:br/>
      </w:r>
    </w:p>
    <w:p>
      <w:pPr>
        <w:pStyle w:val="Heading1"/>
      </w:pPr>
      <w:r>
        <w:t>1. The "Expansion" Principle</w:t>
      </w:r>
    </w:p>
    <w:p>
      <w:r>
        <w:t>Spanish text occupies, on average, 20-30% more horizontal space than English. A rigid UI design results in text truncation (the '...' effect) or element overlapping. Our strategy moves beyond static layouts to a 'Liquid Component Architecture'.</w:t>
      </w:r>
    </w:p>
    <w:p>
      <w:pPr>
        <w:pStyle w:val="Heading1"/>
      </w:pPr>
      <w:r>
        <w:t>2. Technical Implementation Standards</w:t>
      </w:r>
    </w:p>
    <w:p>
      <w:pPr>
        <w:pStyle w:val="Heading2"/>
      </w:pPr>
      <w:r>
        <w:t>Fluid Typography &amp; Scaling:</w:t>
      </w:r>
    </w:p>
    <w:p>
      <w:r>
        <w:t>Instead of fixed pixel sizes, we utilize viewport-aware units and 'Dynamic Type'. The React Native frontend monitors string character counts at runtime; if a Spanish translation exceeds the container's safe-zone, the font-scale factor automatically adjusts based on predefined design tokens.</w:t>
      </w:r>
    </w:p>
    <w:p>
      <w:pPr>
        <w:pStyle w:val="Heading2"/>
      </w:pPr>
      <w:r>
        <w:t>The 'Glass-Box' Container Model:</w:t>
      </w:r>
    </w:p>
    <w:p>
      <w:r>
        <w:t>Every UI element (buttons, headers, data cards) is wrapped in a 'Flexbox Auto-Expand' container. Specifically, we use 'flex-shrink: 0' for icons and 'flex-grow: 1' for text labels, ensuring that icons stay visible while text wraps vertically rather than bleeding off the screen.</w:t>
      </w:r>
    </w:p>
    <w:p>
      <w:pPr>
        <w:pStyle w:val="Heading2"/>
      </w:pPr>
      <w:r>
        <w:t>WCAG-Compliant Tap Resilience:</w:t>
      </w:r>
    </w:p>
    <w:p>
      <w:r>
        <w:t>As text labels grow vertically, the hit-box for interactive elements (such as buttons) expands with the text. This maintains a minimum 44x44px tap target mandated by WCAG, ensuring that a longer Spanish label doesn't make a button harder to press.</w:t>
      </w:r>
    </w:p>
    <w:p>
      <w:pPr>
        <w:pStyle w:val="Heading1"/>
      </w:pPr>
      <w:r>
        <w:t>3. Proactive Engineering Validation</w:t>
      </w:r>
    </w:p>
    <w:p>
      <w:r>
        <w:t>To guarantee UI stability, our CI/CD pipeline includes a 'Pseudo-Localization' test suite. During the build process, every English string is automatically padded with 30% length (e.g., 'Hello' becomes 'Heeelllooo!!!'). Automated visual regression tests flag any layouts that overlap or break under these artificial constraints long before they reach a Spanish-speaking student.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