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Immersive, Age-Appropriate UX/UI Design Strategy</w:t>
      </w:r>
    </w:p>
    <w:p>
      <w:pPr>
        <w:jc w:val="center"/>
      </w:pPr>
      <w:r>
        <w:t>Architecting a Gamified, WCAG-Compliant Financial Simulation</w:t>
      </w:r>
    </w:p>
    <w:p>
      <w:r>
        <w:br/>
      </w:r>
    </w:p>
    <w:p>
      <w:r>
        <w:t>To ensure JA BizTown 3.0 captivates students rather than intimidating them, our UX/UI architecture moves completely away from traditional 'web forms' and transforms the tablet into a highly immersive, interactive simulation terminal.</w:t>
      </w:r>
    </w:p>
    <w:p>
      <w:pPr>
        <w:pStyle w:val="Heading1"/>
      </w:pPr>
      <w:r>
        <w:t>1. Dynamic Cognitive Scaffolding</w:t>
      </w:r>
    </w:p>
    <w:p>
      <w:r>
        <w:t>An immersive experience breaks when a student is overwhelmed. The React Native frontend dynamically reads the student's Grade Level profile from the Headless CMS and adjusts the UI complexity in real-time.</w:t>
      </w:r>
    </w:p>
    <w:p>
      <w:pPr>
        <w:pStyle w:val="ListBullet"/>
      </w:pPr>
      <w:r>
        <w:t>For 3rd/4th Graders: The interface relies heavily on large, vibrant iconography, simplified action verbs ('Buy Item', 'Put Money In'), and avoids dense tables of numbers.</w:t>
      </w:r>
    </w:p>
    <w:p>
      <w:pPr>
        <w:pStyle w:val="ListBullet"/>
      </w:pPr>
      <w:r>
        <w:t>For 7th/8th Graders: The interface unlocks complex data visualizations, detailed budgeting charts, and professional financial terminology ('Execute Transaction', 'Deposit Funds'), respecting their maturity and maintaining engagement.</w:t>
      </w:r>
    </w:p>
    <w:p>
      <w:pPr>
        <w:pStyle w:val="Heading1"/>
      </w:pPr>
      <w:r>
        <w:t>2. High-Fidelity Gamification Mechanics</w:t>
      </w:r>
    </w:p>
    <w:p>
      <w:r>
        <w:t>Students are accustomed to premium mobile gaming experiences. To match their expectations, JA BizTown 3.0 will leverage modern gamification standards:</w:t>
      </w:r>
    </w:p>
    <w:p>
      <w:pPr>
        <w:pStyle w:val="ListBullet"/>
      </w:pPr>
      <w:r>
        <w:t>Visual progress bars tracking their personal budget and business goals.</w:t>
      </w:r>
    </w:p>
    <w:p>
      <w:pPr>
        <w:pStyle w:val="ListBullet"/>
      </w:pPr>
      <w:r>
        <w:t>'Achievement Badges' popping up on screen for successfully completing tasks (e.g., 'First Salary Deposited!').</w:t>
      </w:r>
    </w:p>
    <w:p>
      <w:pPr>
        <w:pStyle w:val="ListBullet"/>
      </w:pPr>
      <w:r>
        <w:t>Using fluid micro-animations (like a coin dropping into a bank vault) during transactions to make interactions feel rewarding and satisfying.</w:t>
      </w:r>
    </w:p>
    <w:p>
      <w:pPr>
        <w:pStyle w:val="Heading1"/>
      </w:pPr>
      <w:r>
        <w:t>3. Tactile and Audio Integration</w:t>
      </w:r>
    </w:p>
    <w:p>
      <w:r>
        <w:t>Immersion requires more than sight. The mobile applications will tap into the physical hardware of the tablets to create a tactile connection to the simulation.</w:t>
      </w:r>
    </w:p>
    <w:p>
      <w:pPr>
        <w:pStyle w:val="ListBullet"/>
      </w:pPr>
      <w:r>
        <w:t>Haptic Feedback: The tablet slightly vibrates upon a successful biometric scan or a failed transaction (e.g., insufficient funds), mimicking physical financial interactions.</w:t>
      </w:r>
    </w:p>
    <w:p>
      <w:pPr>
        <w:pStyle w:val="ListBullet"/>
      </w:pPr>
      <w:r>
        <w:t>Auditory Cues: Adding distinct, satisfying sound effects for depositing money or receiving a paycheck, drawing the student deeper into the reality of the simulation.</w:t>
      </w:r>
    </w:p>
    <w:p>
      <w:pPr>
        <w:pStyle w:val="Heading1"/>
      </w:pPr>
      <w:r>
        <w:t>4. WCAG-Compliant Inclusivity</w:t>
      </w:r>
    </w:p>
    <w:p>
      <w:r>
        <w:t>A truly immersive environment must be accessible to every student. The UI design fundamentally incorporates WCAG 2.1 AA accessibility standards:</w:t>
      </w:r>
    </w:p>
    <w:p>
      <w:pPr>
        <w:pStyle w:val="ListBullet"/>
      </w:pPr>
      <w:r>
        <w:t>High-contrast toggle modes for visually impaired students.</w:t>
      </w:r>
    </w:p>
    <w:p>
      <w:pPr>
        <w:pStyle w:val="ListBullet"/>
      </w:pPr>
      <w:r>
        <w:t>Dynamic font scaling that preserves the UI layout.</w:t>
      </w:r>
    </w:p>
    <w:p>
      <w:pPr>
        <w:pStyle w:val="ListBullet"/>
      </w:pPr>
      <w:r>
        <w:t>Screen-reader optimization so that all gamified elements remain clearly interpretable for assistive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