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 BizTown 3.0: Non-Functional Requirements</w:t>
      </w:r>
    </w:p>
    <w:p>
      <w:r>
        <w:t>This document summarizes the Non-Functional Requirements (NFRs) for the JA BizTown 3.0 redevelopment project, based on the RFP and Q&amp;A responses.</w:t>
      </w:r>
    </w:p>
    <w:p>
      <w:pPr>
        <w:pStyle w:val="Heading1"/>
      </w:pPr>
      <w:r>
        <w:t>1. Targeted Platforms &amp; Device Constraints</w:t>
      </w:r>
    </w:p>
    <w:p>
      <w:r>
        <w:rPr>
          <w:b/>
        </w:rPr>
        <w:t xml:space="preserve">IMPORTANT: </w:t>
      </w:r>
      <w:r>
        <w:t xml:space="preserve">The JA BizTown simulation is designed for </w:t>
      </w:r>
      <w:r>
        <w:rPr>
          <w:b/>
          <w:u w:val="single"/>
        </w:rPr>
        <w:t>Tablets and Laptops/Desktops only</w:t>
      </w:r>
      <w:r>
        <w:t>. Mobile smartphones are NOT supported for the student simulation experience [User Constraint; RFP L145; QA Q23].</w:t>
      </w:r>
    </w:p>
    <w:p>
      <w:pPr>
        <w:pStyle w:val="Heading1"/>
      </w:pPr>
      <w:r>
        <w:t>2. System Quality Attributes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Requirement Detail</w:t>
            </w:r>
          </w:p>
        </w:tc>
        <w:tc>
          <w:tcPr>
            <w:tcW w:type="dxa" w:w="2880"/>
          </w:tcPr>
          <w:p>
            <w:r>
              <w:t>Citation</w:t>
            </w:r>
          </w:p>
        </w:tc>
      </w:tr>
      <w:tr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100% System Availability during peak simulation periods (Mon-Fri, 8 AM to 7 PM ET).</w:t>
            </w:r>
          </w:p>
        </w:tc>
        <w:tc>
          <w:tcPr>
            <w:tcW w:type="dxa" w:w="2880"/>
          </w:tcPr>
          <w:p>
            <w:r>
              <w:t>QA Q5 (L119)</w:t>
            </w:r>
          </w:p>
        </w:tc>
      </w:tr>
      <w:tr>
        <w:tc>
          <w:tcPr>
            <w:tcW w:type="dxa" w:w="2880"/>
          </w:tcPr>
          <w:p>
            <w:r>
              <w:t>Performance (Throughput)</w:t>
            </w:r>
          </w:p>
        </w:tc>
        <w:tc>
          <w:tcPr>
            <w:tcW w:type="dxa" w:w="2880"/>
          </w:tcPr>
          <w:p>
            <w:r>
              <w:t>Process 50–100 transactions per second (TPS) during peak load (e.g., shopping breaks).</w:t>
            </w:r>
          </w:p>
        </w:tc>
        <w:tc>
          <w:tcPr>
            <w:tcW w:type="dxa" w:w="2880"/>
          </w:tcPr>
          <w:p>
            <w:r>
              <w:t>QA Q7 (L186)</w:t>
            </w:r>
          </w:p>
        </w:tc>
      </w:tr>
      <w:tr>
        <w:tc>
          <w:tcPr>
            <w:tcW w:type="dxa" w:w="2880"/>
          </w:tcPr>
          <w:p>
            <w:r>
              <w:t>Performance (Latency)</w:t>
            </w:r>
          </w:p>
        </w:tc>
        <w:tc>
          <w:tcPr>
            <w:tcW w:type="dxa" w:w="2880"/>
          </w:tcPr>
          <w:p>
            <w:r>
              <w:t>Consistency and low-latency updates (1-2 seconds) for cross-system synchronization.</w:t>
            </w:r>
          </w:p>
        </w:tc>
        <w:tc>
          <w:tcPr>
            <w:tcW w:type="dxa" w:w="2880"/>
          </w:tcPr>
          <w:p>
            <w:r>
              <w:t>QA Q12 (L373)</w:t>
            </w:r>
          </w:p>
        </w:tc>
      </w:tr>
      <w:tr>
        <w:tc>
          <w:tcPr>
            <w:tcW w:type="dxa" w:w="2880"/>
          </w:tcPr>
          <w:p>
            <w:r>
              <w:t>Network Resilience</w:t>
            </w:r>
          </w:p>
        </w:tc>
        <w:tc>
          <w:tcPr>
            <w:tcW w:type="dxa" w:w="2880"/>
          </w:tcPr>
          <w:p>
            <w:r>
              <w:t>Support for "local-first" or offline-capable operation; students must be able to continue core activities during WiFi disruptions.</w:t>
            </w:r>
          </w:p>
        </w:tc>
        <w:tc>
          <w:tcPr>
            <w:tcW w:type="dxa" w:w="2880"/>
          </w:tcPr>
          <w:p>
            <w:r>
              <w:t>QA Q7 (L170), QA Q15 (L462)</w:t>
            </w:r>
          </w:p>
        </w:tc>
      </w:tr>
      <w:tr>
        <w:tc>
          <w:tcPr>
            <w:tcW w:type="dxa" w:w="2880"/>
          </w:tcPr>
          <w:p>
            <w:r>
              <w:t>Security &amp; Privacy</w:t>
            </w:r>
          </w:p>
        </w:tc>
        <w:tc>
          <w:tcPr>
            <w:tcW w:type="dxa" w:w="2880"/>
          </w:tcPr>
          <w:p>
            <w:r>
              <w:t>Zero PII collection (no student names or emails required). Adherence to FERPA/COPPA minimized by design.</w:t>
            </w:r>
          </w:p>
        </w:tc>
        <w:tc>
          <w:tcPr>
            <w:tcW w:type="dxa" w:w="2880"/>
          </w:tcPr>
          <w:p>
            <w:r>
              <w:t>QA Q29 (L684)</w:t>
            </w:r>
          </w:p>
        </w:tc>
      </w:tr>
      <w:tr>
        <w:tc>
          <w:tcPr>
            <w:tcW w:type="dxa" w:w="2880"/>
          </w:tcPr>
          <w:p>
            <w:r>
              <w:t>Accessibility</w:t>
            </w:r>
          </w:p>
        </w:tc>
        <w:tc>
          <w:tcPr>
            <w:tcW w:type="dxa" w:w="2880"/>
          </w:tcPr>
          <w:p>
            <w:r>
              <w:t>Strict compliance with WCAG 2.2 AA standards for all student, volunteer, and teacher interfaces.</w:t>
            </w:r>
          </w:p>
        </w:tc>
        <w:tc>
          <w:tcPr>
            <w:tcW w:type="dxa" w:w="2880"/>
          </w:tcPr>
          <w:p>
            <w:r>
              <w:t>RFP L73, QA Q8 (L199)</w:t>
            </w:r>
          </w:p>
        </w:tc>
      </w:tr>
      <w:tr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Support for 100+ facilities and total national volume of 500k-600k students annually.</w:t>
            </w:r>
          </w:p>
        </w:tc>
        <w:tc>
          <w:tcPr>
            <w:tcW w:type="dxa" w:w="2880"/>
          </w:tcPr>
          <w:p>
            <w:r>
              <w:t>RFP L75, QA Q6 (L123)</w:t>
            </w:r>
          </w:p>
        </w:tc>
      </w:tr>
      <w:tr>
        <w:tc>
          <w:tcPr>
            <w:tcW w:type="dxa" w:w="2880"/>
          </w:tcPr>
          <w:p>
            <w:r>
              <w:t>Concurrency</w:t>
            </w:r>
          </w:p>
        </w:tc>
        <w:tc>
          <w:tcPr>
            <w:tcW w:type="dxa" w:w="2880"/>
          </w:tcPr>
          <w:p>
            <w:r>
              <w:t>Support 150+ concurrent students per facility, with ~30 transacting simultaneously.</w:t>
            </w:r>
          </w:p>
        </w:tc>
        <w:tc>
          <w:tcPr>
            <w:tcW w:type="dxa" w:w="2880"/>
          </w:tcPr>
          <w:p>
            <w:r>
              <w:t>QA Q7 (L181)</w:t>
            </w:r>
          </w:p>
        </w:tc>
      </w:tr>
      <w:tr>
        <w:tc>
          <w:tcPr>
            <w:tcW w:type="dxa" w:w="2880"/>
          </w:tcPr>
          <w:p>
            <w:r>
              <w:t>Maintenance</w:t>
            </w:r>
          </w:p>
        </w:tc>
        <w:tc>
          <w:tcPr>
            <w:tcW w:type="dxa" w:w="2880"/>
          </w:tcPr>
          <w:p>
            <w:r>
              <w:t>Continuing support with an annual upgrade/revision cycle.</w:t>
            </w:r>
          </w:p>
        </w:tc>
        <w:tc>
          <w:tcPr>
            <w:tcW w:type="dxa" w:w="2880"/>
          </w:tcPr>
          <w:p>
            <w:r>
              <w:t>QA Q5 (L110)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