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National Update Strategy &amp; Single Codebase Delivery</w:t>
      </w:r>
    </w:p>
    <w:p>
      <w:pPr>
        <w:jc w:val="center"/>
      </w:pPr>
      <w:r>
        <w:t>Automated, Non-Destructive Deployments to 98 Regional JA Areas</w:t>
      </w:r>
    </w:p>
    <w:p>
      <w:r>
        <w:br/>
      </w:r>
    </w:p>
    <w:p>
      <w:pPr>
        <w:pStyle w:val="Heading1"/>
      </w:pPr>
      <w:r>
        <w:t>1. The Single Codebase Architecture (SaaS Model)</w:t>
      </w:r>
    </w:p>
    <w:p>
      <w:r>
        <w:t>To satisfy the requirement of avoiding 'complex upgrade paths', the JA BizTown 3.0 platform operates as a true Multi-Tenant SaaS application. There are not 98 different copies of the application code. There is exactly one central React Native frontend and one central .NET API backend. When a student logs in, the single codebase uses Row-Level Security (RLS) to contextually load their specific regional data.</w:t>
      </w:r>
    </w:p>
    <w:p>
      <w:pPr>
        <w:pStyle w:val="Heading1"/>
      </w:pPr>
      <w:r>
        <w:t>2. CI/CD Automated and Scheduled Updates</w:t>
      </w:r>
    </w:p>
    <w:p>
      <w:r>
        <w:t>Because of the true Single Codebase architecture, deploying platform updates is highly streamlined:</w:t>
      </w:r>
    </w:p>
    <w:p>
      <w:pPr>
        <w:pStyle w:val="ListBullet"/>
      </w:pPr>
      <w:r>
        <w:t>Centralized CI/CD: We utilize Azure DevOps pipelines. When a new feature is approved by National JA, it is pushed to a central repository.</w:t>
      </w:r>
    </w:p>
    <w:p>
      <w:pPr>
        <w:pStyle w:val="ListBullet"/>
      </w:pPr>
      <w:r>
        <w:t>Scheduled Deployment: The CI/CD pipeline is programmed to automatically deploy to production during scheduled off-peak windows (e.g., Saturday at 2:00 AM EST).</w:t>
      </w:r>
    </w:p>
    <w:p>
      <w:pPr>
        <w:pStyle w:val="ListBullet"/>
      </w:pPr>
      <w:r>
        <w:t>Instant Global Rollout: Because all 98 regions hit the same central .NET service, the update goes live for every single facility simultaneously. Zero manual intervention or regional IT patching is required.</w:t>
      </w:r>
    </w:p>
    <w:p>
      <w:pPr>
        <w:pStyle w:val="Heading1"/>
      </w:pPr>
      <w:r>
        <w:t>3. Preserving Local Customizations During Updates</w:t>
      </w:r>
    </w:p>
    <w:p>
      <w:r>
        <w:t>The most critical risk during a global rollout is accidentally overwriting localized data (e.g., a regional sponsor logo). Our architecture fundamentally eliminates this risk by entirely decoupling the Application Code from the Content Database.</w:t>
      </w:r>
    </w:p>
    <w:p>
      <w:r>
        <w:t>The Delta-Shadow Database: The CMS operates natively on a parent-child inheritance model. When National pushes a curriculum update (like a new tax law or duration limit) to the 'National Master' database, it instantly applies to all 98 regions.</w:t>
      </w:r>
    </w:p>
    <w:p>
      <w:r>
        <w:t>Non-Destructive Overrides: If an individual JA Area has saved a custom override (a 'Delta-Shadow'), the system mathematically favors the local edit over the National baseline. Therefore, a National update will effortlessly inject new features without ever overwriting explicit local customizations.</w:t>
      </w:r>
    </w:p>
    <w:p>
      <w:pPr>
        <w:pStyle w:val="Heading1"/>
      </w:pPr>
      <w:r>
        <w:t>4. The Outcome</w:t>
      </w:r>
    </w:p>
    <w:p>
      <w:r>
        <w:t>This guarantees maximum agility for National IT Operations. You can deploy structural, curricular, or application updates to 15,000 students across 98 regions with a single click, completely confident that no local data integrity will be compromised.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