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Zero-Touch Onboarding: On-Demand School Provisioning</w:t>
      </w:r>
    </w:p>
    <w:p>
      <w:pPr>
        <w:jc w:val="center"/>
      </w:pPr>
      <w:r>
        <w:t>Automated Tenant &amp; Content Seeding Strategy for JA BizTown 3.0</w:t>
      </w:r>
    </w:p>
    <w:p>
      <w:r>
        <w:br/>
      </w:r>
    </w:p>
    <w:p>
      <w:pPr>
        <w:pStyle w:val="Heading1"/>
      </w:pPr>
      <w:r>
        <w:t>1. The "Zero-Manual-Work" Requirement</w:t>
      </w:r>
    </w:p>
    <w:p>
      <w:r>
        <w:t>A critical requirement for scaling JA BizTown 3.0 nationally is the ability to provide 'on-demand provisioning' for new schools dynamically. Manual database cloning, copy-pasting CMS content, or emailing credentials creates operational bottlenecks. Our architecture guarantees a 100% automated, zero-touch onboarding flow powered by our .NET API layer.</w:t>
      </w:r>
    </w:p>
    <w:p>
      <w:pPr>
        <w:pStyle w:val="Heading1"/>
      </w:pPr>
      <w:r>
        <w:t>2. The Automated Provisioning Architecture</w:t>
      </w:r>
    </w:p>
    <w:p>
      <w:pPr>
        <w:pStyle w:val="Heading2"/>
      </w:pPr>
      <w:r>
        <w:t>Step 1: The One-Click Trigger</w:t>
      </w:r>
    </w:p>
    <w:p>
      <w:r>
        <w:t>A JA Regional Manager simply enters the school's National Center for Education Statistics (NCES) ID or name into the Master Admin Portal and clicks 'Provision School'. This fires a secure webhook to the Azure .NET Orchestrator.</w:t>
      </w:r>
    </w:p>
    <w:p>
      <w:pPr>
        <w:pStyle w:val="Heading2"/>
      </w:pPr>
      <w:r>
        <w:t>Step 2: Automated Content Seeding (The CMS Layer)</w:t>
      </w:r>
    </w:p>
    <w:p>
      <w:r>
        <w:t>The Orchestrator authenticates with the Headless CMS (Directus/Strapi) API. Rather than illegally duplicating the entire Master Curriculum database (which causes desyncs), the API instantly creates a single relational link. It creates an empty 'Local Template' tied to the 'National Master' for that specific School ID. The school is now instantly seeded with all national curriculum via the 'Delta-Shadow' inheritance model.</w:t>
      </w:r>
    </w:p>
    <w:p>
      <w:pPr>
        <w:pStyle w:val="Heading2"/>
      </w:pPr>
      <w:r>
        <w:t>Step 3: Database Isolation (The SQL Layer)</w:t>
      </w:r>
    </w:p>
    <w:p>
      <w:r>
        <w:t>To achieve 'on-demand' speed, we do not spin up new physical SQL databases (which takes minutes and wastes Azure resources). Instead, the .NET engine uses Row-Level Security (RLS) inside the central Azure SQL database. It registers the new School ID in the Tenant matrix. All future simulation data from this school is cryptographically fenced entirely to their ID, ensuring strict COPPA isolation.</w:t>
      </w:r>
    </w:p>
    <w:p>
      <w:pPr>
        <w:pStyle w:val="Heading2"/>
      </w:pPr>
      <w:r>
        <w:t>Step 4: Identity &amp; Credential Dispatch (The Security Layer)</w:t>
      </w:r>
    </w:p>
    <w:p>
      <w:r>
        <w:t>Finally, the orchestration engine communicates with Azure Active Directory (Entra ID). It automatically generates the required RBAC (Role-Based Access Control) security groups for the school's Teachers. A secure, automated welcome email containing SSO (Single Sign-On) instructions and a one-time setup link is dispatched to the Lead Teacher's inbox.</w:t>
      </w:r>
    </w:p>
    <w:p>
      <w:pPr>
        <w:pStyle w:val="Heading1"/>
      </w:pPr>
      <w:r>
        <w:t>3. The Result: Sub-Second Provisioning</w:t>
      </w:r>
    </w:p>
    <w:p>
      <w:r>
        <w:t>By utilizing API integration, Headless relational inheritance, and Row-Level Security, the entire onboarding workflow reduces from a 'multi-day IT ticket operation' down to a sub-second, zero-touch deployment. A new school is fully seeded, secured, and ready to start their pre-simulation curriculum instantaneously.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