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Security Architecture Strategy</w:t>
      </w:r>
    </w:p>
    <w:p>
      <w:pPr>
        <w:jc w:val="center"/>
      </w:pPr>
      <w:r>
        <w:t>Defense-in-Depth for the JA BizTown 3.0 Ecosystem (With MFA)</w:t>
      </w:r>
    </w:p>
    <w:p>
      <w:r>
        <w:br/>
      </w:r>
    </w:p>
    <w:p>
      <w:pPr>
        <w:pStyle w:val="Heading1"/>
      </w:pPr>
      <w:r>
        <w:t>1. Global Security Standards Compliance</w:t>
      </w:r>
    </w:p>
    <w:p>
      <w:r>
        <w:t>Our security posture is rooted in internationally recognized standards to ensure the highest trust levels for JA USA and school partners.</w:t>
      </w:r>
    </w:p>
    <w:p>
      <w:pPr>
        <w:pStyle w:val="ListBullet"/>
      </w:pPr>
      <w:r>
        <w:t>OWASP Top 10: The application is designed to natively mitigate risks including SQL Injection, Cross-Site Scripting (XSS), and Broken Access Control through modern ORM usage and input sanitization.</w:t>
      </w:r>
    </w:p>
    <w:p>
      <w:pPr>
        <w:pStyle w:val="ListBullet"/>
      </w:pPr>
      <w:r>
        <w:t>IETF &amp; W3C: We strictly adhere to IETF protocols for secure transmissions (TLS 1.3) and W3C standards for secure web application development.</w:t>
      </w:r>
    </w:p>
    <w:p>
      <w:pPr>
        <w:pStyle w:val="ListBullet"/>
      </w:pPr>
      <w:r>
        <w:t>Security Development Lifecycle (SDL): Security is not a bolt-on; we implement SAST (Static Application Security Testing) within our Azure DevOps pipelines to detect vulnerabilities at the code level.</w:t>
      </w:r>
    </w:p>
    <w:p>
      <w:pPr>
        <w:pStyle w:val="Heading1"/>
      </w:pPr>
      <w:r>
        <w:t>2. Holistic Encryption Architecture</w:t>
      </w:r>
    </w:p>
    <w:p>
      <w:pPr>
        <w:pStyle w:val="ListBullet"/>
      </w:pPr>
      <w:r>
        <w:t>Encryption in Transit: All data moving between the mobile application and Azure is protected by TLS 1.3, overseen by Azure Front Door with managed SSL termination.</w:t>
      </w:r>
    </w:p>
    <w:p>
      <w:pPr>
        <w:pStyle w:val="ListBullet"/>
      </w:pPr>
      <w:r>
        <w:t>Encryption at Rest: All persistent data in Azure SQL and Azure Blob Storage is encrypted using AES-256 via Transparent Data Encryption (TDE). We further propose using Customer-Managed Keys (CMK) in Azure Key Vault for localized JA Area autonomy.</w:t>
      </w:r>
    </w:p>
    <w:p>
      <w:pPr>
        <w:pStyle w:val="Heading1"/>
      </w:pPr>
      <w:r>
        <w:t>3. Identity Management Strategy</w:t>
      </w:r>
    </w:p>
    <w:p>
      <w:r>
        <w:t>We utilize Microsoft Entra B2C as our identity engine for all non-student users (Staff, Volunteers, Teachers).</w:t>
      </w:r>
    </w:p>
    <w:p>
      <w:pPr>
        <w:pStyle w:val="ListBullet"/>
      </w:pPr>
      <w:r>
        <w:t>Multi-Factor Authentication (MFA): MFA is mandatory for administrative roles, utilizing SMS or Authenticator App challenges to prevent account takeover.</w:t>
      </w:r>
    </w:p>
    <w:p>
      <w:pPr>
        <w:pStyle w:val="ListBullet"/>
      </w:pPr>
      <w:r>
        <w:t>API-Level RBAC: Every API request requires a JSON Web Token (JWT). The backend .NET services validate specific claims (e.g., 'Business_ID', 'Role') before processing any business logic. This ensures a student in Business A can never trigger a transaction for Business B.</w:t>
      </w:r>
    </w:p>
    <w:p>
      <w:pPr>
        <w:pStyle w:val="Heading1"/>
      </w:pPr>
      <w:r>
        <w:t>4. Student Data Integrity (Zero-PII Model)</w:t>
      </w:r>
    </w:p>
    <w:p>
      <w:r>
        <w:t>Aligned with our Privacy Strategy, student security is prioritized through 'Identity Ephemerality'.</w:t>
      </w:r>
    </w:p>
    <w:p>
      <w:pPr>
        <w:pStyle w:val="ListBullet"/>
      </w:pPr>
      <w:r>
        <w:t>Anonymous PIN/QR Authentication: Students never use passwords or emails. Access is granted via one-time session tokens, eliminating the risk of identity theft.</w:t>
      </w:r>
    </w:p>
    <w:p>
      <w:pPr>
        <w:pStyle w:val="ListBullet"/>
      </w:pPr>
      <w:r>
        <w:t>Memory-Resident Scopes: Critical student actions are scoped to the active simulation window in server memory, preventing post-event data manipulation.</w:t>
      </w:r>
    </w:p>
    <w:p>
      <w:pPr>
        <w:pStyle w:val="Heading1"/>
      </w:pPr>
      <w:r>
        <w:t>5. Conclusion</w:t>
      </w:r>
    </w:p>
    <w:p>
      <w:r>
        <w:t>By combining Azure's cloud-native security tools with strict developmental discipline, we provide JA BizTown 3.0 with an institutional-grade security perimeter that is resilient, compliant, and transparent.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