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Deep Field-Level Inheritance: Game Template Model</w:t>
      </w:r>
    </w:p>
    <w:p>
      <w:pPr>
        <w:jc w:val="center"/>
      </w:pPr>
      <w:r>
        <w:t>Resolving Parent/Child Schema Updates in JA BizTown 3.0</w:t>
      </w:r>
    </w:p>
    <w:p>
      <w:r>
        <w:br/>
      </w:r>
    </w:p>
    <w:p>
      <w:pPr>
        <w:pStyle w:val="Heading1"/>
      </w:pPr>
      <w:r>
        <w:t>Executive Summary</w:t>
      </w:r>
    </w:p>
    <w:p>
      <w:r>
        <w:t>A core requirement of the JA BizTown 3.0 architecture is the ability for local regions to inherit a National Master Game Template and safely customize it without being disconnected from future National updates. This document outlines the programmatic resolution mechanism when updates occur simultaneously at both the National (Parent) and Local (Child) levels.</w:t>
      </w:r>
    </w:p>
    <w:p>
      <w:pPr>
        <w:pStyle w:val="Heading1"/>
      </w:pPr>
      <w:r>
        <w:t>Scenario Definition</w:t>
      </w:r>
    </w:p>
    <w:p>
      <w:r>
        <w:t>1. Initialization: A Game Template is defined at the National Level.</w:t>
        <w:br/>
        <w:t>2. Inheritance: A Local Office creates a Child Template, automatically inheriting all National data.</w:t>
        <w:br/>
        <w:t>3. Local Override: The Local Office edits a specific field (e.g., 'Simulation Duration') in the Child Template.</w:t>
        <w:br/>
        <w:t>4. National Update: The National Office subsequently modifies that exact same field ('Simulation Duration') and adds a completely new field ('Tax Policy Flag') to the Parent Template.</w:t>
      </w:r>
    </w:p>
    <w:p>
      <w:pPr>
        <w:pStyle w:val="Heading1"/>
      </w:pPr>
      <w:r>
        <w:t>Programmatic Resolution (The Merge)</w:t>
      </w:r>
    </w:p>
    <w:p>
      <w:r>
        <w:t>When the application fetches data for the Local Office's active simulation, our API engine performs a Dynamic Object Merge (Delta-shadowing). The system enforces the following resolution rules:</w:t>
      </w:r>
    </w:p>
    <w:p>
      <w:pPr>
        <w:pStyle w:val="Heading2"/>
      </w:pPr>
      <w:r>
        <w:t>Rule 1: Strict Local Persistence (Modified Fields)</w:t>
      </w:r>
    </w:p>
    <w:p>
      <w:r>
        <w:t>If a field has been explicitly edited at the local level, the Child Template's value becomes immutable to top-down overwrites. Even though National modified the 'Simulation Duration', the Local Office's custom value is safely prioritized and retained. National changes to locally overridden fields are ignored to prevent destroying regional customizations.</w:t>
      </w:r>
    </w:p>
    <w:p>
      <w:pPr>
        <w:pStyle w:val="Heading2"/>
      </w:pPr>
      <w:r>
        <w:t>Rule 2: Seamless Innovation (New Fields)</w:t>
      </w:r>
    </w:p>
    <w:p>
      <w:r>
        <w:t>If a brand new field is added at the National level (e.g., 'Tax Policy Flag'), the API engine evaluates the Child Template and finds no shadow override for this new data node. Therefore, the new field automatically propagates down. The Local Office instantly benefits from the new feature without needing a manual database migration.</w:t>
      </w:r>
    </w:p>
    <w:p>
      <w:pPr>
        <w:pStyle w:val="Heading1"/>
      </w:pPr>
      <w:r>
        <w:t>Technical Implementation Pattern</w:t>
      </w:r>
    </w:p>
    <w:p>
      <w:r>
        <w:t>This is heavily supported by Headless CMS architectures and RESTful API design. Instead of storing redundant copies of the entire template, the Child Template is stored as a 'Sparse Data Object' (a Delta). It only records the exact fields that deviate from the Parent.</w:t>
      </w:r>
    </w:p>
    <w:p>
      <w:pPr>
        <w:pStyle w:val="Heading2"/>
      </w:pPr>
      <w:r>
        <w:t>The Final Output Payload</w:t>
      </w:r>
    </w:p>
    <w:p>
      <w:r>
        <w:t>The resulting JSON payload delivered to the interactive client exactly matches the target scenario:</w:t>
      </w:r>
    </w:p>
    <w:p>
      <w:pPr>
        <w:pStyle w:val="ListBullet"/>
      </w:pPr>
      <w:r>
        <w:t>- Inherited Baseline Data (from Parent)</w:t>
      </w:r>
    </w:p>
    <w:p>
      <w:pPr>
        <w:pStyle w:val="ListBullet"/>
      </w:pPr>
      <w:r>
        <w:t>- Retained Local Overrides (Child overrides Parent modification)</w:t>
      </w:r>
    </w:p>
    <w:p>
      <w:pPr>
        <w:pStyle w:val="ListBullet"/>
      </w:pPr>
      <w:r>
        <w:t>- Newly Injected Features (Propagated untouched from Parent)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