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George Taylor</w:t>
      </w:r>
    </w:p>
    <w:p>
      <w:pPr>
        <w:spacing w:after="80"/>
      </w:pPr>
      <w:r>
        <w:t xml:space="preserve">Head of Operations</w:t>
      </w:r>
    </w:p>
    <w:p>
      <w:pPr>
        <w:spacing w:after="80"/>
      </w:pPr>
      <w:r>
        <w:t xml:space="preserve">george.taylor@mail.uk | +44 161 496 0123 | Leeds, UK</w:t>
      </w:r>
    </w:p>
    <w:p>
      <w:pPr>
        <w:spacing w:after="80"/>
      </w:pPr>
      <w:r>
        <w:t xml:space="preserve">linkedin.com/in/georgetaylor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Head of ops scaling e-commerce fulfillment.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operations leadership, p&amp;l management, logistics, team building, kpi tracking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Head of Operations — ASOS (2018–Present)</w:t>
      </w:r>
    </w:p>
    <w:p>
      <w:pPr>
        <w:spacing w:after="80"/>
      </w:pPr>
      <w:r>
        <w:t xml:space="preserve">• Scaled warehouse capacity 3x</w:t>
      </w:r>
    </w:p>
    <w:p>
      <w:pPr>
        <w:spacing w:after="80"/>
      </w:pPr>
    </w:p>
    <w:p>
      <w:pPr>
        <w:spacing w:after="80"/>
      </w:pPr>
      <w:r>
        <w:t xml:space="preserve">Ops Manager — Next (2012–2018)</w:t>
      </w:r>
    </w:p>
    <w:p>
      <w:pPr>
        <w:spacing w:after="80"/>
      </w:pPr>
      <w:r>
        <w:t xml:space="preserve">• Led distribution center team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MBA, Manchester Business School, 2012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2026-06-09T08:21:06.524Z</dcterms:created>
  <dcterms:modified xsi:type="dcterms:W3CDTF">2026-06-09T08:21:06.524Z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