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24D"/>
          <w:sz w:val="56"/>
        </w:rPr>
        <w:t>CASEWORK</w:t>
        <w:br/>
        <w:t>CRIMINAL MANAGEMENT SYSTEM</w:t>
      </w:r>
    </w:p>
    <w:p>
      <w:pPr>
        <w:jc w:val="center"/>
      </w:pPr>
      <w:r>
        <w:rPr>
          <w:b/>
          <w:color w:val="167D78"/>
          <w:sz w:val="28"/>
        </w:rPr>
        <w:t>CURRENT WEB APPLICATION &amp; FEATURES REPORT</w:t>
      </w:r>
    </w:p>
    <w:p>
      <w:pPr>
        <w:spacing w:before="520"/>
        <w:jc w:val="center"/>
      </w:pPr>
      <w:r>
        <w:t>Browser interface  •  Python HTTP API  •  SQLite development / MySQL assessment configuration</w:t>
      </w:r>
    </w:p>
    <w:p>
      <w:pPr>
        <w:spacing w:before="900"/>
        <w:jc w:val="center"/>
      </w:pPr>
      <w:r>
        <w:t>Prepared by: [Team members]</w:t>
        <w:br/>
        <w:t>Course / institution: [Details]</w:t>
        <w:br/>
        <w:t>Submission date: [Date]</w:t>
      </w:r>
    </w:p>
    <w:p>
      <w:r>
        <w:br w:type="page"/>
      </w:r>
    </w:p>
    <w:p>
      <w:pPr>
        <w:pStyle w:val="Heading1"/>
      </w:pPr>
      <w:r>
        <w:t>Executive summary</w:t>
      </w:r>
    </w:p>
    <w:p>
      <w:r>
        <w:t>The current CASEWORK browser application retains its branded responsive interface and now sends login and business-data operations to a Python API. The API provides authenticated, role-checked endpoints for cases, persons of interest, team members, dashboard summaries, reports, and activity. SQLite is available for isolated development and automated tests; MySQL is the configured assessment target. MySQL connectivity has not been verified in this environment because a MySQL server/client and PyMySQL package were unavailable.</w:t>
      </w:r>
    </w:p>
    <w:p>
      <w:pPr>
        <w:pStyle w:val="Heading1"/>
      </w:pPr>
      <w:r>
        <w:t>1. User-facing features</w:t>
      </w:r>
    </w:p>
    <w:p>
      <w:pPr>
        <w:pStyle w:val="ListBullet"/>
      </w:pPr>
      <w:r>
        <w:t>Overview: database-backed totals for all cases, active investigations, cases under review, and closed cases; a recent-cases table; and recent server-recorded activity.</w:t>
      </w:r>
    </w:p>
    <w:p>
      <w:pPr>
        <w:pStyle w:val="ListBullet"/>
      </w:pPr>
      <w:r>
        <w:t>Case Records: list, search, filter by status/category, create, update, and delete with confirmation; export to CSV. Case references are unique.</w:t>
      </w:r>
    </w:p>
    <w:p>
      <w:pPr>
        <w:pStyle w:val="ListBullet"/>
      </w:pPr>
      <w:r>
        <w:t>Persons of Interest: list, search, filter by status, create, update, delete, and navigate to the linked case. Linked case references are validated.</w:t>
      </w:r>
    </w:p>
    <w:p>
      <w:pPr>
        <w:pStyle w:val="ListBullet"/>
      </w:pPr>
      <w:r>
        <w:t>Team Directory: list, search/filter by designation, create/update/delete team members, and show assigned-case workload. Duplicate badge IDs are rejected; assigned officers cannot be deleted until reassigned.</w:t>
      </w:r>
    </w:p>
    <w:p>
      <w:pPr>
        <w:pStyle w:val="ListBullet"/>
      </w:pPr>
      <w:r>
        <w:t>Reports: CSV downloads for status overview, activity, team workload, locations, resolution summary, and case records.</w:t>
      </w:r>
    </w:p>
    <w:p>
      <w:pPr>
        <w:pStyle w:val="ListBullet"/>
      </w:pPr>
      <w:r>
        <w:t>Activity Log: reads actions written by the backend during successful case/person/team changes.</w:t>
      </w:r>
    </w:p>
    <w:p>
      <w:pPr>
        <w:pStyle w:val="ListBullet"/>
      </w:pPr>
      <w:r>
        <w:t>Account: sign-in, sign-out, account identity/role menu, and server-side permissions for Administrator, Management Head, and Operator.</w:t>
      </w:r>
    </w:p>
    <w:p>
      <w:pPr>
        <w:pStyle w:val="Heading1"/>
      </w:pPr>
      <w:r>
        <w:t>2. Architecture and persistence</w:t>
      </w:r>
    </w:p>
    <w:tbl>
      <w:tblPr>
        <w:tblStyle w:val="LightShading-Accent1"/>
        <w:tblW w:type="auto" w:w="0"/>
        <w:jc w:val="center"/>
        <w:tblLook w:firstColumn="1" w:firstRow="1" w:lastColumn="0" w:lastRow="0" w:noHBand="0" w:noVBand="1" w:val="04A0"/>
      </w:tblPr>
      <w:tblGrid>
        <w:gridCol w:w="4939"/>
        <w:gridCol w:w="4939"/>
      </w:tblGrid>
      <w:tr>
        <w:tc>
          <w:tcPr>
            <w:tcW w:type="dxa" w:w="4939"/>
            <w:shd w:fill="17324D"/>
          </w:tcPr>
          <w:p>
            <w:r>
              <w:rPr>
                <w:b/>
                <w:color w:val="FFFFFF"/>
              </w:rPr>
              <w:t>Component</w:t>
            </w:r>
          </w:p>
        </w:tc>
        <w:tc>
          <w:tcPr>
            <w:tcW w:type="dxa" w:w="4939"/>
            <w:shd w:fill="17324D"/>
          </w:tcPr>
          <w:p>
            <w:r>
              <w:rPr>
                <w:b/>
                <w:color w:val="FFFFFF"/>
              </w:rPr>
              <w:t>Current responsibility</w:t>
            </w:r>
          </w:p>
        </w:tc>
      </w:tr>
      <w:tr>
        <w:tc>
          <w:tcPr>
            <w:tcW w:type="dxa" w:w="4939"/>
            <w:vAlign w:val="center"/>
          </w:tcPr>
          <w:p>
            <w:r>
              <w:t>HTML/CSS/JavaScript</w:t>
            </w:r>
          </w:p>
        </w:tc>
        <w:tc>
          <w:tcPr>
            <w:tcW w:type="dxa" w:w="4939"/>
            <w:vAlign w:val="center"/>
          </w:tcPr>
          <w:p>
            <w:r>
              <w:t>Retains CASEWORK layout, sidebar, dashboard, forms, dialogs, filters, and responsive styling; fetches same-origin API data.</w:t>
            </w:r>
          </w:p>
        </w:tc>
      </w:tr>
      <w:tr>
        <w:tc>
          <w:tcPr>
            <w:tcW w:type="dxa" w:w="4939"/>
            <w:vAlign w:val="center"/>
          </w:tcPr>
          <w:p>
            <w:r>
              <w:t>Python API (`backend/api.py`)</w:t>
            </w:r>
          </w:p>
        </w:tc>
        <w:tc>
          <w:tcPr>
            <w:tcW w:type="dxa" w:w="4939"/>
            <w:vAlign w:val="center"/>
          </w:tcPr>
          <w:p>
            <w:r>
              <w:t>Serves static frontend and JSON/CSV endpoints; validates requests; checks sessions and permissions; records activity.</w:t>
            </w:r>
          </w:p>
        </w:tc>
      </w:tr>
      <w:tr>
        <w:tc>
          <w:tcPr>
            <w:tcW w:type="dxa" w:w="4939"/>
            <w:vAlign w:val="center"/>
          </w:tcPr>
          <w:p>
            <w:r>
              <w:t>MySQL (`casework`)</w:t>
            </w:r>
          </w:p>
        </w:tc>
        <w:tc>
          <w:tcPr>
            <w:tcW w:type="dxa" w:w="4939"/>
            <w:vAlign w:val="center"/>
          </w:tcPr>
          <w:p>
            <w:r>
              <w:t>Assessment database schema defined in `database/schema.mysql.sql`; unique references, indexes, foreign keys, and `case_view` JOIN.</w:t>
            </w:r>
          </w:p>
        </w:tc>
      </w:tr>
      <w:tr>
        <w:tc>
          <w:tcPr>
            <w:tcW w:type="dxa" w:w="4939"/>
            <w:vAlign w:val="center"/>
          </w:tcPr>
          <w:p>
            <w:r>
              <w:t>SQLite adapter</w:t>
            </w:r>
          </w:p>
        </w:tc>
        <w:tc>
          <w:tcPr>
            <w:tcW w:type="dxa" w:w="4939"/>
            <w:vAlign w:val="center"/>
          </w:tcPr>
          <w:p>
            <w:r>
              <w:t>Isolated local/test configuration using Python standard library. It exercises persistence and API logic but does not prove MySQL connectivity.</w:t>
            </w:r>
          </w:p>
        </w:tc>
      </w:tr>
    </w:tbl>
    <w:p>
      <w:r>
        <w:t>The browser no longer treats localStorage as the source of truth for cases, persons, team members, sessions, or activity. The older localStorage keys are not silently merged. An explicit JSON export/import tool is provided. The legacy Java Swing project uses a separate CriminalApplication database and is not automatically synchronized with the new web schema.</w:t>
      </w:r>
    </w:p>
    <w:p>
      <w:pPr>
        <w:pStyle w:val="Heading1"/>
      </w:pPr>
      <w:r>
        <w:t>3. Authentication and access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17324D"/>
          </w:tcPr>
          <w:p>
            <w:r>
              <w:rPr>
                <w:b/>
                <w:color w:val="FFFFFF"/>
              </w:rPr>
              <w:t>Role</w:t>
            </w:r>
          </w:p>
        </w:tc>
        <w:tc>
          <w:tcPr>
            <w:tcW w:type="dxa" w:w="3293"/>
            <w:shd w:fill="17324D"/>
          </w:tcPr>
          <w:p>
            <w:r>
              <w:rPr>
                <w:b/>
                <w:color w:val="FFFFFF"/>
              </w:rPr>
              <w:t>Read screens and reports</w:t>
            </w:r>
          </w:p>
        </w:tc>
        <w:tc>
          <w:tcPr>
            <w:tcW w:type="dxa" w:w="3293"/>
            <w:shd w:fill="17324D"/>
          </w:tcPr>
          <w:p>
            <w:r>
              <w:rPr>
                <w:b/>
                <w:color w:val="FFFFFF"/>
              </w:rPr>
              <w:t>Manage records</w:t>
            </w:r>
          </w:p>
        </w:tc>
      </w:tr>
      <w:tr>
        <w:tc>
          <w:tcPr>
            <w:tcW w:type="dxa" w:w="3293"/>
            <w:vAlign w:val="center"/>
          </w:tcPr>
          <w:p>
            <w:r>
              <w:t>Administrator</w:t>
            </w:r>
          </w:p>
        </w:tc>
        <w:tc>
          <w:tcPr>
            <w:tcW w:type="dxa" w:w="3293"/>
            <w:vAlign w:val="center"/>
          </w:tcPr>
          <w:p>
            <w:r>
              <w:t>Yes</w:t>
            </w:r>
          </w:p>
        </w:tc>
        <w:tc>
          <w:tcPr>
            <w:tcW w:type="dxa" w:w="3293"/>
            <w:vAlign w:val="center"/>
          </w:tcPr>
          <w:p>
            <w:r>
              <w:t>Cases, persons, team members</w:t>
            </w:r>
          </w:p>
        </w:tc>
      </w:tr>
      <w:tr>
        <w:tc>
          <w:tcPr>
            <w:tcW w:type="dxa" w:w="3293"/>
            <w:vAlign w:val="center"/>
          </w:tcPr>
          <w:p>
            <w:r>
              <w:t>Management Head</w:t>
            </w:r>
          </w:p>
        </w:tc>
        <w:tc>
          <w:tcPr>
            <w:tcW w:type="dxa" w:w="3293"/>
            <w:vAlign w:val="center"/>
          </w:tcPr>
          <w:p>
            <w:r>
              <w:t>Yes</w:t>
            </w:r>
          </w:p>
        </w:tc>
        <w:tc>
          <w:tcPr>
            <w:tcW w:type="dxa" w:w="3293"/>
            <w:vAlign w:val="center"/>
          </w:tcPr>
          <w:p>
            <w:r>
              <w:t>Cases, persons, team members</w:t>
            </w:r>
          </w:p>
        </w:tc>
      </w:tr>
      <w:tr>
        <w:tc>
          <w:tcPr>
            <w:tcW w:type="dxa" w:w="3293"/>
            <w:vAlign w:val="center"/>
          </w:tcPr>
          <w:p>
            <w:r>
              <w:t>Operator</w:t>
            </w:r>
          </w:p>
        </w:tc>
        <w:tc>
          <w:tcPr>
            <w:tcW w:type="dxa" w:w="3293"/>
            <w:vAlign w:val="center"/>
          </w:tcPr>
          <w:p>
            <w:r>
              <w:t>Yes</w:t>
            </w:r>
          </w:p>
        </w:tc>
        <w:tc>
          <w:tcPr>
            <w:tcW w:type="dxa" w:w="3293"/>
            <w:vAlign w:val="center"/>
          </w:tcPr>
          <w:p>
            <w:r>
              <w:t>Read-only; write requests receive HTTP 403</w:t>
            </w:r>
          </w:p>
        </w:tc>
      </w:tr>
    </w:tbl>
    <w:p>
      <w:r>
        <w:t>Passwords are stored as PBKDF2-HMAC-SHA256 hashes with random salts. The server stores hashed session tokens and issues HttpOnly, SameSite=Strict cookies. Initial accounts are provisioned from private environment variables through a CLI command; no public registration or hard-coded demo password is used.</w:t>
      </w:r>
    </w:p>
    <w:p>
      <w:pPr>
        <w:pStyle w:val="Heading1"/>
      </w:pPr>
      <w:r>
        <w:t>4. API and data integrity</w:t>
      </w:r>
    </w:p>
    <w:p>
      <w:pPr>
        <w:pStyle w:val="ListBullet"/>
      </w:pPr>
      <w:r>
        <w:t>Authentication: POST /api/auth/login, POST /api/auth/logout, GET /api/auth/me.</w:t>
      </w:r>
    </w:p>
    <w:p>
      <w:pPr>
        <w:pStyle w:val="ListBullet"/>
      </w:pPr>
      <w:r>
        <w:t>Cases: GET/POST /api/cases, GET/PUT/DELETE /api/cases/{reference}; search and status/category filtering.</w:t>
      </w:r>
    </w:p>
    <w:p>
      <w:pPr>
        <w:pStyle w:val="ListBullet"/>
      </w:pPr>
      <w:r>
        <w:t>Persons: GET/POST /api/persons, GET/PUT/DELETE /api/persons/{id}.</w:t>
      </w:r>
    </w:p>
    <w:p>
      <w:pPr>
        <w:pStyle w:val="ListBullet"/>
      </w:pPr>
      <w:r>
        <w:t>Officers: GET/POST /api/officers, GET/PUT/DELETE /api/officers/{id}.</w:t>
      </w:r>
    </w:p>
    <w:p>
      <w:pPr>
        <w:pStyle w:val="ListBullet"/>
      </w:pPr>
      <w:r>
        <w:t>Dashboard/reports/activity: GET /api/dashboard, GET /api/reports, GET /api/reports/export, GET /api/activity.</w:t>
      </w:r>
    </w:p>
    <w:p>
      <w:pPr>
        <w:pStyle w:val="ListBullet"/>
      </w:pPr>
      <w:r>
        <w:t>Health: GET /api/health reports the configured adapter and whether that database connection is reachable.</w:t>
      </w:r>
    </w:p>
    <w:p>
      <w:r>
        <w:t>The database links cases to officers and persons of interest to cases. Deleting a case preserves linked person records and clears their case link. Deleting an assigned officer is blocked. Successful changes and activity rows commit together. SQL values are parameterized; duplicate case references and badge IDs have database uniqueness constraints.</w:t>
      </w:r>
    </w:p>
    <w:p>
      <w:pPr>
        <w:pStyle w:val="Heading1"/>
      </w:pPr>
      <w:r>
        <w:t>5. Validation and error handling</w:t>
      </w:r>
    </w:p>
    <w:p>
      <w:pPr>
        <w:pStyle w:val="ListBullet"/>
      </w:pPr>
      <w:r>
        <w:t>Required fields and maximum lengths are checked; invalid dates, statuses, ages, missing case references, and unknown assigned officers are rejected.</w:t>
      </w:r>
    </w:p>
    <w:p>
      <w:pPr>
        <w:pStyle w:val="ListBullet"/>
      </w:pPr>
      <w:r>
        <w:t>The backend returns standard HTTP errors (400 validation, 401 unauthenticated, 403 unauthorized, 404 missing record, 409 uniqueness/relationship conflict, 503 service/database error).</w:t>
      </w:r>
    </w:p>
    <w:p>
      <w:pPr>
        <w:pStyle w:val="ListBullet"/>
      </w:pPr>
      <w:r>
        <w:t>The UI shows loading state while refreshing, API messages on failure, inline case-reference validation, and success messages only after a successful backend response.</w:t>
      </w:r>
    </w:p>
    <w:p>
      <w:pPr>
        <w:pStyle w:val="ListBullet"/>
      </w:pPr>
      <w:r>
        <w:t>No automatic fallback to localStorage occurs when the API fails.</w:t>
      </w:r>
    </w:p>
    <w:p>
      <w:pPr>
        <w:pStyle w:val="Heading1"/>
      </w:pPr>
      <w:r>
        <w:t>6. Verification status</w:t>
      </w:r>
    </w:p>
    <w:tbl>
      <w:tblPr>
        <w:tblStyle w:val="LightShading-Accent1"/>
        <w:tblW w:type="auto" w:w="0"/>
        <w:jc w:val="center"/>
        <w:tblLook w:firstColumn="1" w:firstRow="1" w:lastColumn="0" w:lastRow="0" w:noHBand="0" w:noVBand="1" w:val="04A0"/>
      </w:tblPr>
      <w:tblGrid>
        <w:gridCol w:w="4939"/>
        <w:gridCol w:w="4939"/>
      </w:tblGrid>
      <w:tr>
        <w:tc>
          <w:tcPr>
            <w:tcW w:type="dxa" w:w="4939"/>
            <w:shd w:fill="17324D"/>
          </w:tcPr>
          <w:p>
            <w:r>
              <w:rPr>
                <w:b/>
                <w:color w:val="FFFFFF"/>
              </w:rPr>
              <w:t>Check</w:t>
            </w:r>
          </w:p>
        </w:tc>
        <w:tc>
          <w:tcPr>
            <w:tcW w:type="dxa" w:w="4939"/>
            <w:shd w:fill="17324D"/>
          </w:tcPr>
          <w:p>
            <w:r>
              <w:rPr>
                <w:b/>
                <w:color w:val="FFFFFF"/>
              </w:rPr>
              <w:t>Result</w:t>
            </w:r>
          </w:p>
        </w:tc>
      </w:tr>
      <w:tr>
        <w:tc>
          <w:tcPr>
            <w:tcW w:type="dxa" w:w="4939"/>
            <w:vAlign w:val="center"/>
          </w:tcPr>
          <w:p>
            <w:r>
              <w:t>JavaScript syntax (`node --check app.js`)</w:t>
            </w:r>
          </w:p>
        </w:tc>
        <w:tc>
          <w:tcPr>
            <w:tcW w:type="dxa" w:w="4939"/>
            <w:vAlign w:val="center"/>
          </w:tcPr>
          <w:p>
            <w:r>
              <w:t>Passed</w:t>
            </w:r>
          </w:p>
        </w:tc>
      </w:tr>
      <w:tr>
        <w:tc>
          <w:tcPr>
            <w:tcW w:type="dxa" w:w="4939"/>
            <w:vAlign w:val="center"/>
          </w:tcPr>
          <w:p>
            <w:r>
              <w:t>Python syntax compilation</w:t>
            </w:r>
          </w:p>
        </w:tc>
        <w:tc>
          <w:tcPr>
            <w:tcW w:type="dxa" w:w="4939"/>
            <w:vAlign w:val="center"/>
          </w:tcPr>
          <w:p>
            <w:r>
              <w:t>Passed</w:t>
            </w:r>
          </w:p>
        </w:tc>
      </w:tr>
      <w:tr>
        <w:tc>
          <w:tcPr>
            <w:tcW w:type="dxa" w:w="4939"/>
            <w:vAlign w:val="center"/>
          </w:tcPr>
          <w:p>
            <w:r>
              <w:t>Backend unit tests on isolated SQLite fixtures</w:t>
            </w:r>
          </w:p>
        </w:tc>
        <w:tc>
          <w:tcPr>
            <w:tcW w:type="dxa" w:w="4939"/>
            <w:vAlign w:val="center"/>
          </w:tcPr>
          <w:p>
            <w:r>
              <w:t>5 tests passed: auth/session, role restrictions, CRUD, duplicate handling, validation, relationships, dashboard/report/activity.</w:t>
            </w:r>
          </w:p>
        </w:tc>
      </w:tr>
      <w:tr>
        <w:tc>
          <w:tcPr>
            <w:tcW w:type="dxa" w:w="4939"/>
            <w:vAlign w:val="center"/>
          </w:tcPr>
          <w:p>
            <w:r>
              <w:t>MySQL connection / MySQL CRUD</w:t>
            </w:r>
          </w:p>
        </w:tc>
        <w:tc>
          <w:tcPr>
            <w:tcW w:type="dxa" w:w="4939"/>
            <w:vAlign w:val="center"/>
          </w:tcPr>
          <w:p>
            <w:r>
              <w:t>Not run: this environment did not provide a MySQL server/client or installed PyMySQL.</w:t>
            </w:r>
          </w:p>
        </w:tc>
      </w:tr>
      <w:tr>
        <w:tc>
          <w:tcPr>
            <w:tcW w:type="dxa" w:w="4939"/>
            <w:vAlign w:val="center"/>
          </w:tcPr>
          <w:p>
            <w:r>
              <w:t>Live browser-to-MySQL end-to-end workflow</w:t>
            </w:r>
          </w:p>
        </w:tc>
        <w:tc>
          <w:tcPr>
            <w:tcW w:type="dxa" w:w="4939"/>
            <w:vAlign w:val="center"/>
          </w:tcPr>
          <w:p>
            <w:r>
              <w:t>Requires MySQL setup and a recording run; not claimed as verified.</w:t>
            </w:r>
          </w:p>
        </w:tc>
      </w:tr>
    </w:tbl>
    <w:p>
      <w:r>
        <w:t>Backend tests call the API dispatch methods directly because local test sockets are restricted in this environment. They verify handler/business logic against isolated SQLite, not an HTTP or MySQL integration.</w:t>
      </w:r>
    </w:p>
    <w:p>
      <w:pPr>
        <w:pStyle w:val="Heading1"/>
      </w:pPr>
      <w:r>
        <w:t>7. Setup and assessment resources</w:t>
      </w:r>
    </w:p>
    <w:p>
      <w:pPr>
        <w:pStyle w:val="ListBullet"/>
      </w:pPr>
      <w:r>
        <w:t>Setup, commands, credentials, health check, API reference, role matrix, relationships, and migration: `docs/WEB_APP_SETUP.md`.</w:t>
      </w:r>
    </w:p>
    <w:p>
      <w:pPr>
        <w:pStyle w:val="ListBullet"/>
      </w:pPr>
      <w:r>
        <w:t>Actual Assessment 9 SQL: `docs/ASSESSMENT_9_SQL.md`.</w:t>
      </w:r>
    </w:p>
    <w:p>
      <w:pPr>
        <w:pStyle w:val="ListBullet"/>
      </w:pPr>
      <w:r>
        <w:t>Three-video demonstration checklists and fictional workflows: `docs/ASSESSMENT_DEMO_CHECKLIST.md`.</w:t>
      </w:r>
    </w:p>
    <w:p>
      <w:pPr>
        <w:pStyle w:val="ListBullet"/>
      </w:pPr>
      <w:r>
        <w:t>MySQL schema: `database/schema.mysql.sql`; backend dependencies: `requirements.txt`; example configuration: `.env.example`.</w:t>
      </w:r>
    </w:p>
    <w:p>
      <w:pPr>
        <w:pStyle w:val="Heading1"/>
      </w:pPr>
      <w:r>
        <w:t>8. Known limitations</w:t>
      </w:r>
    </w:p>
    <w:p>
      <w:pPr>
        <w:pStyle w:val="ListBullet"/>
      </w:pPr>
      <w:r>
        <w:t>MySQL integration remains unverified until PyMySQL and a configured MySQL 8+ service are available.</w:t>
      </w:r>
    </w:p>
    <w:p>
      <w:pPr>
        <w:pStyle w:val="ListBullet"/>
      </w:pPr>
      <w:r>
        <w:t>The built-in HTTP server is intended for a college/local prototype, not production deployment. Use HTTPS/reverse proxy and a hardened application server for deployment.</w:t>
      </w:r>
    </w:p>
    <w:p>
      <w:pPr>
        <w:pStyle w:val="ListBullet"/>
      </w:pPr>
      <w:r>
        <w:t>Login throttling, password reset, account-management UI, and enterprise audit/retention controls are not implemented.</w:t>
      </w:r>
    </w:p>
    <w:p>
      <w:pPr>
        <w:pStyle w:val="ListBullet"/>
      </w:pPr>
      <w:r>
        <w:t>The Java Swing schema differs from the new web schema; only a deliberate reviewed import is supported.</w:t>
      </w:r>
    </w:p>
    <w:p>
      <w:pPr>
        <w:pStyle w:val="Heading1"/>
      </w:pPr>
      <w:r>
        <w:t>Conclusion</w:t>
      </w:r>
    </w:p>
    <w:p>
      <w:r>
        <w:t>The current web project now has a full-stack API path and database-backed feature implementation while retaining its CASEWORK UI. Automated tests validate core behavior on isolated SQLite. The MySQL schema/configuration and assessment materials are included, but MySQL should only be described as connected after `/api/health` reports `adapter=mysql` and `database=connected` in the actual configured environment.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Current implementation summary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382"/>
      </w:rPr>
      <w:t>CASEWORK  |  CURRENT WEB APPLICATION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8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