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b/>
          <w:color w:val="1F3958"/>
          <w:sz w:val="48"/>
        </w:rPr>
        <w:t>Fortress Lens Analyzer</w:t>
      </w:r>
    </w:p>
    <w:p>
      <w:pPr>
        <w:spacing w:after="200"/>
      </w:pPr>
      <w:r>
        <w:rPr>
          <w:b w:val="0"/>
          <w:color w:val="2D6196"/>
          <w:sz w:val="30"/>
        </w:rPr>
        <w:t>How the Analyzer Works</w:t>
      </w:r>
    </w:p>
    <w:tbl>
      <w:tblPr>
        <w:tblW w:type="auto" w:w="0"/>
        <w:jc w:val="center"/>
        <w:tblLayout w:type="autofit"/>
        <w:tblLook w:firstColumn="1" w:firstRow="1" w:lastColumn="0" w:lastRow="0" w:noHBand="0" w:noVBand="1" w:val="04A0"/>
      </w:tblPr>
      <w:tblGrid>
        <w:gridCol w:w="10454"/>
      </w:tblGrid>
      <w:tr>
        <w:tc>
          <w:tcPr>
            <w:tcW w:type="dxa" w:w="10454"/>
            <w:shd w:fill="EAF2FA"/>
            <w:tcBorders>
              <w:top w:val="single" w:sz="8" w:space="0" w:color="C8DAD6"/>
              <w:left w:val="single" w:sz="8" w:space="0" w:color="C8DAD6"/>
              <w:bottom w:val="single" w:sz="8" w:space="0" w:color="C8DAD6"/>
              <w:right w:val="single" w:sz="8" w:space="0" w:color="C8DAD6"/>
              <w:insideH w:val="single" w:sz="8" w:space="0" w:color="C8DAD6"/>
              <w:insideV w:val="single" w:sz="8" w:space="0" w:color="C8DAD6"/>
            </w:tcBorders>
            <w:tcMar>
              <w:top w:w="115" w:type="dxa"/>
              <w:start w:w="150" w:type="dxa"/>
              <w:bottom w:w="115" w:type="dxa"/>
              <w:end w:w="150" w:type="dxa"/>
            </w:tcMar>
          </w:tcPr>
          <w:p>
            <w:pPr>
              <w:spacing w:after="40"/>
            </w:pPr>
            <w:r>
              <w:rPr>
                <w:b/>
                <w:color w:val="288478"/>
                <w:sz w:val="20"/>
              </w:rPr>
              <w:t>Purpose</w:t>
            </w:r>
          </w:p>
          <w:p>
            <w:pPr>
              <w:spacing w:after="0" w:line="247" w:lineRule="auto"/>
            </w:pPr>
            <w:r>
              <w:rPr>
                <w:b w:val="0"/>
                <w:color w:val="263846"/>
                <w:sz w:val="18"/>
              </w:rPr>
              <w:t>This document explains the analyzer's observable logic: how it ingests firewall, switch, router, traffic, and threat data; how it normalizes that data; and how it turns configuration evidence into risk, anomaly, compliance, hardening, and attack-path findings. It intentionally avoids proprietary tuning details, private credentials, or implementation internals that are not needed to evaluate the product.</w:t>
            </w:r>
          </w:p>
        </w:tc>
      </w:tr>
    </w:tbl>
    <w:p>
      <w:pPr>
        <w:spacing w:before="0" w:after="40" w:line="250" w:lineRule="auto"/>
      </w:pPr>
      <w:r>
        <w:rPr>
          <w:b w:val="0"/>
        </w:rPr>
      </w:r>
    </w:p>
    <w:p>
      <w:pPr>
        <w:spacing w:before="140" w:after="100"/>
      </w:pPr>
      <w:r>
        <w:rPr>
          <w:b/>
          <w:color w:val="1F3958"/>
          <w:sz w:val="32"/>
        </w:rPr>
        <w:t>End-to-End Flow</w:t>
      </w:r>
    </w:p>
    <w:tbl>
      <w:tblPr>
        <w:tblStyle w:val="TableGrid"/>
        <w:tblW w:type="auto" w:w="0"/>
        <w:jc w:val="center"/>
        <w:tblLook w:firstColumn="1" w:firstRow="1" w:lastColumn="0" w:lastRow="0" w:noHBand="0" w:noVBand="1" w:val="04A0"/>
      </w:tblPr>
      <w:tblGrid>
        <w:gridCol w:w="3485"/>
        <w:gridCol w:w="3485"/>
        <w:gridCol w:w="3485"/>
      </w:tblGrid>
      <w:tr>
        <w:tc>
          <w:tcPr>
            <w:tcW w:type="dxa" w:w="1440"/>
            <w:shd w:fill="EAF2FA"/>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100" w:type="dxa"/>
              <w:start w:w="115" w:type="dxa"/>
              <w:bottom w:w="100" w:type="dxa"/>
              <w:end w:w="115" w:type="dxa"/>
            </w:tcMar>
            <w:vAlign w:val="center"/>
          </w:tcPr>
          <w:p>
            <w:pPr>
              <w:jc w:val="center"/>
            </w:pPr>
            <w:r>
              <w:rPr>
                <w:b/>
                <w:color w:val="1F3958"/>
                <w:sz w:val="17"/>
              </w:rPr>
              <w:t>Stage</w:t>
            </w:r>
          </w:p>
        </w:tc>
        <w:tc>
          <w:tcPr>
            <w:tcW w:type="dxa" w:w="6480"/>
            <w:shd w:fill="EAF2FA"/>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100" w:type="dxa"/>
              <w:start w:w="115" w:type="dxa"/>
              <w:bottom w:w="100" w:type="dxa"/>
              <w:end w:w="115" w:type="dxa"/>
            </w:tcMar>
            <w:vAlign w:val="center"/>
          </w:tcPr>
          <w:p>
            <w:pPr>
              <w:jc w:val="center"/>
            </w:pPr>
            <w:r>
              <w:rPr>
                <w:b/>
                <w:color w:val="1F3958"/>
                <w:sz w:val="17"/>
              </w:rPr>
              <w:t>What Happens</w:t>
            </w:r>
          </w:p>
        </w:tc>
        <w:tc>
          <w:tcPr>
            <w:tcW w:type="dxa" w:w="2592"/>
            <w:shd w:fill="EAF2FA"/>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100" w:type="dxa"/>
              <w:start w:w="115" w:type="dxa"/>
              <w:bottom w:w="100" w:type="dxa"/>
              <w:end w:w="115" w:type="dxa"/>
            </w:tcMar>
            <w:vAlign w:val="center"/>
          </w:tcPr>
          <w:p>
            <w:pPr>
              <w:jc w:val="center"/>
            </w:pPr>
            <w:r>
              <w:rPr>
                <w:b/>
                <w:color w:val="1F3958"/>
                <w:sz w:val="17"/>
              </w:rPr>
              <w:t>Output</w:t>
            </w:r>
          </w:p>
        </w:tc>
      </w:tr>
      <w:tr>
        <w:tc>
          <w:tcPr>
            <w:tcW w:type="dxa" w:w="144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1. Ingest</w:t>
            </w:r>
          </w:p>
        </w:tc>
        <w:tc>
          <w:tcPr>
            <w:tcW w:type="dxa" w:w="648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The upload endpoint identifies the file type from extension and naming pattern, then routes it to the proper parser or data importer.</w:t>
            </w:r>
          </w:p>
        </w:tc>
        <w:tc>
          <w:tcPr>
            <w:tcW w:type="dxa" w:w="259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A tracked upload record with status and progress.</w:t>
            </w:r>
          </w:p>
        </w:tc>
      </w:tr>
      <w:tr>
        <w:tc>
          <w:tcPr>
            <w:tcW w:type="dxa" w:w="144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2. Normalize</w:t>
            </w:r>
          </w:p>
        </w:tc>
        <w:tc>
          <w:tcPr>
            <w:tcW w:type="dxa" w:w="648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Rules, topology nodes, ACLs, services, interfaces, VLANs, routes, and NAT facts are converted into common data models.</w:t>
            </w:r>
          </w:p>
        </w:tc>
        <w:tc>
          <w:tcPr>
            <w:tcW w:type="dxa" w:w="259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Comparable records across vendors.</w:t>
            </w:r>
          </w:p>
        </w:tc>
      </w:tr>
      <w:tr>
        <w:tc>
          <w:tcPr>
            <w:tcW w:type="dxa" w:w="144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3. Analyze</w:t>
            </w:r>
          </w:p>
        </w:tc>
        <w:tc>
          <w:tcPr>
            <w:tcW w:type="dxa" w:w="648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Risk, anomalies, compliance checks, hardening checks, and attack paths run against normalized facts.</w:t>
            </w:r>
          </w:p>
        </w:tc>
        <w:tc>
          <w:tcPr>
            <w:tcW w:type="dxa" w:w="259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Findings with evidence and remediation.</w:t>
            </w:r>
          </w:p>
        </w:tc>
      </w:tr>
      <w:tr>
        <w:tc>
          <w:tcPr>
            <w:tcW w:type="dxa" w:w="144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4. Project</w:t>
            </w:r>
          </w:p>
        </w:tc>
        <w:tc>
          <w:tcPr>
            <w:tcW w:type="dxa" w:w="648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The system derives configuration-based traffic and threat projections and tags them as config_projection.</w:t>
            </w:r>
          </w:p>
        </w:tc>
        <w:tc>
          <w:tcPr>
            <w:tcW w:type="dxa" w:w="259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Dashboard-ready connections and threats.</w:t>
            </w:r>
          </w:p>
        </w:tc>
      </w:tr>
      <w:tr>
        <w:tc>
          <w:tcPr>
            <w:tcW w:type="dxa" w:w="144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5. Present</w:t>
            </w:r>
          </w:p>
        </w:tc>
        <w:tc>
          <w:tcPr>
            <w:tcW w:type="dxa" w:w="648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APIs expose scores, tables, narratives, graphs, and reports to the React interface.</w:t>
            </w:r>
          </w:p>
        </w:tc>
        <w:tc>
          <w:tcPr>
            <w:tcW w:type="dxa" w:w="259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Executive and technical views.</w:t>
            </w:r>
          </w:p>
        </w:tc>
      </w:tr>
    </w:tbl>
    <w:p>
      <w:pPr>
        <w:spacing w:before="0" w:after="40" w:line="250" w:lineRule="auto"/>
      </w:pPr>
      <w:r>
        <w:rPr>
          <w:b w:val="0"/>
        </w:rPr>
      </w:r>
    </w:p>
    <w:p>
      <w:pPr>
        <w:spacing w:before="140" w:after="100"/>
      </w:pPr>
      <w:r>
        <w:rPr>
          <w:b/>
          <w:color w:val="1F3958"/>
          <w:sz w:val="32"/>
        </w:rPr>
        <w:t>Supported Inputs</w:t>
      </w:r>
    </w:p>
    <w:p>
      <w:pPr>
        <w:spacing w:before="0" w:after="120" w:line="250" w:lineRule="auto"/>
      </w:pPr>
      <w:r>
        <w:rPr>
          <w:b w:val="0"/>
        </w:rPr>
        <w:t>Fortress Lens accepts Palo Alto XML, Cisco ASA configuration files, FortiGate configuration files, Cisco switch configurations, Cisco router configurations, and structured traffic/threat imports in CSV, JSON, or spreadsheet format. The firewall parsers focus on rulebases and zones. The switch and router parsers also preserve device-specific context such as VLANs, trunk ports, STP, routing protocols, NAT, ACLs, interfaces, and neighbor relationships.</w:t>
      </w:r>
    </w:p>
    <w:p>
      <w:pPr>
        <w:spacing w:before="0" w:after="120" w:line="250" w:lineRule="auto"/>
      </w:pPr>
      <w:r>
        <w:rPr>
          <w:b w:val="0"/>
        </w:rPr>
        <w:t>Before a new configuration replaces an older one, cleanup is scoped to the same device. This prevents a re-upload for one firewall, switch, or router from wiping unrelated devices. Imported syslog and CSV evidence is preserved separately from configuration projections.</w:t>
      </w:r>
    </w:p>
    <w:tbl>
      <w:tblPr>
        <w:tblW w:type="auto" w:w="0"/>
        <w:jc w:val="center"/>
        <w:tblLayout w:type="autofit"/>
        <w:tblLook w:firstColumn="1" w:firstRow="1" w:lastColumn="0" w:lastRow="0" w:noHBand="0" w:noVBand="1" w:val="04A0"/>
      </w:tblPr>
      <w:tblGrid>
        <w:gridCol w:w="10454"/>
      </w:tblGrid>
      <w:tr>
        <w:tc>
          <w:tcPr>
            <w:tcW w:type="dxa" w:w="10454"/>
            <w:shd w:fill="E7F4F1"/>
            <w:tcBorders>
              <w:top w:val="single" w:sz="8" w:space="0" w:color="C8DAD6"/>
              <w:left w:val="single" w:sz="8" w:space="0" w:color="C8DAD6"/>
              <w:bottom w:val="single" w:sz="8" w:space="0" w:color="C8DAD6"/>
              <w:right w:val="single" w:sz="8" w:space="0" w:color="C8DAD6"/>
              <w:insideH w:val="single" w:sz="8" w:space="0" w:color="C8DAD6"/>
              <w:insideV w:val="single" w:sz="8" w:space="0" w:color="C8DAD6"/>
            </w:tcBorders>
            <w:tcMar>
              <w:top w:w="115" w:type="dxa"/>
              <w:start w:w="150" w:type="dxa"/>
              <w:bottom w:w="115" w:type="dxa"/>
              <w:end w:w="150" w:type="dxa"/>
            </w:tcMar>
          </w:tcPr>
          <w:p>
            <w:pPr>
              <w:spacing w:after="40"/>
            </w:pPr>
            <w:r>
              <w:rPr>
                <w:b/>
                <w:color w:val="288478"/>
                <w:sz w:val="20"/>
              </w:rPr>
              <w:t>Customer-safe boundary</w:t>
            </w:r>
          </w:p>
          <w:p>
            <w:pPr>
              <w:spacing w:after="0" w:line="247" w:lineRule="auto"/>
            </w:pPr>
            <w:r>
              <w:rPr>
                <w:b w:val="0"/>
                <w:color w:val="263846"/>
                <w:sz w:val="18"/>
              </w:rPr>
              <w:t>The analyzer uses transparent security reasoning: broad access is riskier than narrow access, exposed administration is riskier than controlled administration, and conflicting ordered rules deserve review. The exact tuning, thresholds, and product heuristics are intentionally summarized rather than disclosed as source-level logic.</w:t>
            </w:r>
          </w:p>
        </w:tc>
      </w:tr>
    </w:tbl>
    <w:p>
      <w:pPr>
        <w:spacing w:before="0" w:after="40" w:line="250" w:lineRule="auto"/>
      </w:pPr>
      <w:r>
        <w:rPr>
          <w:b w:val="0"/>
        </w:rPr>
      </w:r>
    </w:p>
    <w:p>
      <w:pPr>
        <w:sectPr>
          <w:footerReference w:type="default" r:id="rId9"/>
          <w:pgSz w:w="12240" w:h="15840"/>
          <w:pgMar w:top="792" w:right="893" w:bottom="720" w:left="893" w:header="720" w:footer="720" w:gutter="0"/>
          <w:cols w:space="720"/>
          <w:docGrid w:linePitch="360"/>
        </w:sectPr>
      </w:pPr>
    </w:p>
    <w:p>
      <w:pPr>
        <w:spacing w:before="140" w:after="100"/>
      </w:pPr>
      <w:r>
        <w:rPr>
          <w:b/>
          <w:color w:val="1F3958"/>
          <w:sz w:val="32"/>
        </w:rPr>
        <w:t>Rule Risk Scoring</w:t>
      </w:r>
    </w:p>
    <w:p>
      <w:pPr>
        <w:spacing w:before="0" w:after="120" w:line="250" w:lineRule="auto"/>
      </w:pPr>
      <w:r>
        <w:rPr>
          <w:b w:val="0"/>
        </w:rPr>
        <w:t>Every enabled firewall or ACL-derived rule is evaluated in the context of the full device ruleset. The analyzer looks at what the rule permits, how broad its match criteria are, whether it exposes sensitive services, whether it appears unused, and whether an earlier rule makes it unreachable. The result is a 0 to 10 risk score, a level, a category, evidence text, and a remediation recommendation.</w:t>
      </w:r>
    </w:p>
    <w:tbl>
      <w:tblPr>
        <w:tblStyle w:val="TableGrid"/>
        <w:tblW w:type="auto" w:w="0"/>
        <w:jc w:val="center"/>
        <w:tblLook w:firstColumn="1" w:firstRow="1" w:lastColumn="0" w:lastRow="0" w:noHBand="0" w:noVBand="1" w:val="04A0"/>
      </w:tblPr>
      <w:tblGrid>
        <w:gridCol w:w="3485"/>
        <w:gridCol w:w="3485"/>
        <w:gridCol w:w="3485"/>
      </w:tblGrid>
      <w:tr>
        <w:tc>
          <w:tcPr>
            <w:tcW w:type="dxa" w:w="1944"/>
            <w:shd w:fill="EAF2FA"/>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100" w:type="dxa"/>
              <w:start w:w="115" w:type="dxa"/>
              <w:bottom w:w="100" w:type="dxa"/>
              <w:end w:w="115" w:type="dxa"/>
            </w:tcMar>
            <w:vAlign w:val="center"/>
          </w:tcPr>
          <w:p>
            <w:pPr>
              <w:jc w:val="center"/>
            </w:pPr>
            <w:r>
              <w:rPr>
                <w:b/>
                <w:color w:val="1F3958"/>
                <w:sz w:val="17"/>
              </w:rPr>
              <w:t>Signal</w:t>
            </w:r>
          </w:p>
        </w:tc>
        <w:tc>
          <w:tcPr>
            <w:tcW w:type="dxa" w:w="5472"/>
            <w:shd w:fill="EAF2FA"/>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100" w:type="dxa"/>
              <w:start w:w="115" w:type="dxa"/>
              <w:bottom w:w="100" w:type="dxa"/>
              <w:end w:w="115" w:type="dxa"/>
            </w:tcMar>
            <w:vAlign w:val="center"/>
          </w:tcPr>
          <w:p>
            <w:pPr>
              <w:jc w:val="center"/>
            </w:pPr>
            <w:r>
              <w:rPr>
                <w:b/>
                <w:color w:val="1F3958"/>
                <w:sz w:val="17"/>
              </w:rPr>
              <w:t>Analyzer Logic</w:t>
            </w:r>
          </w:p>
        </w:tc>
        <w:tc>
          <w:tcPr>
            <w:tcW w:type="dxa" w:w="3312"/>
            <w:shd w:fill="EAF2FA"/>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100" w:type="dxa"/>
              <w:start w:w="115" w:type="dxa"/>
              <w:bottom w:w="100" w:type="dxa"/>
              <w:end w:w="115" w:type="dxa"/>
            </w:tcMar>
            <w:vAlign w:val="center"/>
          </w:tcPr>
          <w:p>
            <w:pPr>
              <w:jc w:val="center"/>
            </w:pPr>
            <w:r>
              <w:rPr>
                <w:b/>
                <w:color w:val="1F3958"/>
                <w:sz w:val="17"/>
              </w:rPr>
              <w:t>Why It Matters</w:t>
            </w:r>
          </w:p>
        </w:tc>
      </w:tr>
      <w:tr>
        <w:tc>
          <w:tcPr>
            <w:tcW w:type="dxa" w:w="194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ANY source</w:t>
            </w:r>
          </w:p>
        </w:tc>
        <w:tc>
          <w:tcPr>
            <w:tcW w:type="dxa" w:w="547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Flags rules where the source is unrestricted, including common equivalents such as any or 0.0.0.0/0.</w:t>
            </w:r>
          </w:p>
        </w:tc>
        <w:tc>
          <w:tcPr>
            <w:tcW w:type="dxa" w:w="331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Broad source scope increases exposure and makes intent harder to defend.</w:t>
            </w:r>
          </w:p>
        </w:tc>
      </w:tr>
      <w:tr>
        <w:tc>
          <w:tcPr>
            <w:tcW w:type="dxa" w:w="194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ANY destination</w:t>
            </w:r>
          </w:p>
        </w:tc>
        <w:tc>
          <w:tcPr>
            <w:tcW w:type="dxa" w:w="547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Flags rules that can reach any destination or broad destination ranges.</w:t>
            </w:r>
          </w:p>
        </w:tc>
        <w:tc>
          <w:tcPr>
            <w:tcW w:type="dxa" w:w="331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Unbounded destinations can create lateral movement paths.</w:t>
            </w:r>
          </w:p>
        </w:tc>
      </w:tr>
      <w:tr>
        <w:tc>
          <w:tcPr>
            <w:tcW w:type="dxa" w:w="194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Wide ports</w:t>
            </w:r>
          </w:p>
        </w:tc>
        <w:tc>
          <w:tcPr>
            <w:tcW w:type="dxa" w:w="547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Recognizes all-port rules, common full-range expressions, and large explicit ranges.</w:t>
            </w:r>
          </w:p>
        </w:tc>
        <w:tc>
          <w:tcPr>
            <w:tcW w:type="dxa" w:w="331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Wide service scope often permits more applications than the business need requires.</w:t>
            </w:r>
          </w:p>
        </w:tc>
      </w:tr>
      <w:tr>
        <w:tc>
          <w:tcPr>
            <w:tcW w:type="dxa" w:w="194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Sensitive services</w:t>
            </w:r>
          </w:p>
        </w:tc>
        <w:tc>
          <w:tcPr>
            <w:tcW w:type="dxa" w:w="547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Resolves numeric ports and known service object names, then checks for services such as Telnet, FTP, SMB, RDP, and database ports.</w:t>
            </w:r>
          </w:p>
        </w:tc>
        <w:tc>
          <w:tcPr>
            <w:tcW w:type="dxa" w:w="331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These services are frequently abused for credential theft, ransomware, or direct data access.</w:t>
            </w:r>
          </w:p>
        </w:tc>
      </w:tr>
      <w:tr>
        <w:tc>
          <w:tcPr>
            <w:tcW w:type="dxa" w:w="194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Usage evidence</w:t>
            </w:r>
          </w:p>
        </w:tc>
        <w:tc>
          <w:tcPr>
            <w:tcW w:type="dxa" w:w="547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Treats zero-hit or never-hit rules as cleanup candidates.</w:t>
            </w:r>
          </w:p>
        </w:tc>
        <w:tc>
          <w:tcPr>
            <w:tcW w:type="dxa" w:w="331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Unused access still expands the policy surface.</w:t>
            </w:r>
          </w:p>
        </w:tc>
      </w:tr>
      <w:tr>
        <w:tc>
          <w:tcPr>
            <w:tcW w:type="dxa" w:w="194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Ordering</w:t>
            </w:r>
          </w:p>
        </w:tc>
        <w:tc>
          <w:tcPr>
            <w:tcW w:type="dxa" w:w="547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Checks whether higher-priority rules fully cover a lower-priority rule's traffic.</w:t>
            </w:r>
          </w:p>
        </w:tc>
        <w:tc>
          <w:tcPr>
            <w:tcW w:type="dxa" w:w="331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Covered rules may be ineffective, misleading, or incorrectly ordered.</w:t>
            </w:r>
          </w:p>
        </w:tc>
      </w:tr>
    </w:tbl>
    <w:p>
      <w:pPr>
        <w:spacing w:before="0" w:after="40" w:line="250" w:lineRule="auto"/>
      </w:pPr>
      <w:r>
        <w:rPr>
          <w:b w:val="0"/>
        </w:rPr>
      </w:r>
    </w:p>
    <w:p>
      <w:pPr>
        <w:spacing w:before="140" w:after="100"/>
      </w:pPr>
      <w:r>
        <w:rPr>
          <w:b/>
          <w:color w:val="1F3958"/>
          <w:sz w:val="32"/>
        </w:rPr>
        <w:t>How Shadowing Is Handled</w:t>
      </w:r>
    </w:p>
    <w:p>
      <w:pPr>
        <w:spacing w:before="0" w:after="120" w:line="250" w:lineRule="auto"/>
      </w:pPr>
      <w:r>
        <w:rPr>
          <w:b w:val="0"/>
        </w:rPr>
        <w:t>Rule shadowing is evaluated using rule order. For a lower-priority rule, the analyzer walks earlier rules on the same device and asks whether an earlier rule is a superset across protocol, source, destination, and destination port. Address checks use CIDR containment where possible. Port checks support single ports, ranges, and any-style values.</w:t>
      </w:r>
    </w:p>
    <w:p>
      <w:pPr>
        <w:spacing w:before="0" w:after="120" w:line="250" w:lineRule="auto"/>
      </w:pPr>
      <w:r>
        <w:rPr>
          <w:b w:val="0"/>
        </w:rPr>
        <w:t>If an earlier rule covers all traffic the later rule could match, the later rule is considered shadowed for risk scoring. In the anomaly engine, shadowing is reported most strongly when the earlier rule covers the later rule but takes a different action, because the lower rule's intended decision cannot take effect.</w:t>
      </w:r>
    </w:p>
    <w:tbl>
      <w:tblPr>
        <w:tblW w:type="auto" w:w="0"/>
        <w:jc w:val="center"/>
        <w:tblLayout w:type="autofit"/>
        <w:tblLook w:firstColumn="1" w:firstRow="1" w:lastColumn="0" w:lastRow="0" w:noHBand="0" w:noVBand="1" w:val="04A0"/>
      </w:tblPr>
      <w:tblGrid>
        <w:gridCol w:w="10454"/>
      </w:tblGrid>
      <w:tr>
        <w:tc>
          <w:tcPr>
            <w:tcW w:type="dxa" w:w="10454"/>
            <w:shd w:fill="E7F4F1"/>
            <w:tcBorders>
              <w:top w:val="single" w:sz="8" w:space="0" w:color="C8DAD6"/>
              <w:left w:val="single" w:sz="8" w:space="0" w:color="C8DAD6"/>
              <w:bottom w:val="single" w:sz="8" w:space="0" w:color="C8DAD6"/>
              <w:right w:val="single" w:sz="8" w:space="0" w:color="C8DAD6"/>
              <w:insideH w:val="single" w:sz="8" w:space="0" w:color="C8DAD6"/>
              <w:insideV w:val="single" w:sz="8" w:space="0" w:color="C8DAD6"/>
            </w:tcBorders>
            <w:tcMar>
              <w:top w:w="115" w:type="dxa"/>
              <w:start w:w="150" w:type="dxa"/>
              <w:bottom w:w="115" w:type="dxa"/>
              <w:end w:w="150" w:type="dxa"/>
            </w:tcMar>
          </w:tcPr>
          <w:p>
            <w:pPr>
              <w:spacing w:after="40"/>
            </w:pPr>
            <w:r>
              <w:rPr>
                <w:b/>
                <w:color w:val="288478"/>
                <w:sz w:val="20"/>
              </w:rPr>
              <w:t>Example</w:t>
            </w:r>
          </w:p>
          <w:p>
            <w:pPr>
              <w:spacing w:after="0" w:line="247" w:lineRule="auto"/>
            </w:pPr>
            <w:r>
              <w:rPr>
                <w:b w:val="0"/>
                <w:color w:val="263846"/>
                <w:sz w:val="18"/>
              </w:rPr>
              <w:t>If position 10 allows 10.0.0.0/8 to any destination on any port, then a later rule at position 50 that allows 10.1.2.0/24 to a database on TCP 1433 is covered by the broader earlier rule. The analyzer treats the later rule as shadowed or redundant depending on the action and field match.</w:t>
            </w:r>
          </w:p>
        </w:tc>
      </w:tr>
    </w:tbl>
    <w:p>
      <w:pPr>
        <w:spacing w:before="0" w:after="40" w:line="250" w:lineRule="auto"/>
      </w:pPr>
      <w:r>
        <w:rPr>
          <w:b w:val="0"/>
        </w:rPr>
      </w:r>
    </w:p>
    <w:p>
      <w:pPr>
        <w:spacing w:before="140" w:after="100"/>
      </w:pPr>
      <w:r>
        <w:rPr>
          <w:b/>
          <w:color w:val="1F3958"/>
          <w:sz w:val="32"/>
        </w:rPr>
        <w:t>Risk Output</w:t>
      </w:r>
    </w:p>
    <w:p>
      <w:pPr>
        <w:spacing w:before="0" w:after="120" w:line="250" w:lineRule="auto"/>
      </w:pPr>
      <w:r>
        <w:rPr>
          <w:b w:val="0"/>
        </w:rPr>
        <w:t>Risk levels are grouped into low, medium, high, and critical bands. Categories are chosen from the strongest matching condition, such as overly permissive, insecure service, shadowed, or unused. Recommendations are written to be actionable: narrow sources and destinations, limit ports, remove or move shadowed rules, retire unused rules, or replace insecure services.</w:t>
      </w:r>
    </w:p>
    <w:p>
      <w:pPr>
        <w:sectPr>
          <w:pgSz w:w="12240" w:h="15840"/>
          <w:pgMar w:top="792" w:right="893" w:bottom="720" w:left="893" w:header="720" w:footer="720" w:gutter="0"/>
          <w:cols w:space="720"/>
          <w:docGrid w:linePitch="360"/>
        </w:sectPr>
      </w:pPr>
    </w:p>
    <w:p>
      <w:pPr>
        <w:spacing w:before="140" w:after="100"/>
      </w:pPr>
      <w:r>
        <w:rPr>
          <w:b/>
          <w:color w:val="1F3958"/>
          <w:sz w:val="32"/>
        </w:rPr>
        <w:t>Anomaly Detection</w:t>
      </w:r>
    </w:p>
    <w:p>
      <w:pPr>
        <w:spacing w:before="0" w:after="120" w:line="250" w:lineRule="auto"/>
      </w:pPr>
      <w:r>
        <w:rPr>
          <w:b w:val="0"/>
        </w:rPr>
        <w:t>The anomaly engine compares rules within each device after sorting by device and policy position. It normalizes common any values, converts valid IPs and CIDR blocks into network comparisons, and falls back to exact-name matching when a value is a named object instead of an address.</w:t>
      </w:r>
    </w:p>
    <w:tbl>
      <w:tblPr>
        <w:tblStyle w:val="TableGrid"/>
        <w:tblW w:type="auto" w:w="0"/>
        <w:jc w:val="center"/>
        <w:tblLook w:firstColumn="1" w:firstRow="1" w:lastColumn="0" w:lastRow="0" w:noHBand="0" w:noVBand="1" w:val="04A0"/>
      </w:tblPr>
      <w:tblGrid>
        <w:gridCol w:w="3485"/>
        <w:gridCol w:w="3485"/>
        <w:gridCol w:w="3485"/>
      </w:tblGrid>
      <w:tr>
        <w:tc>
          <w:tcPr>
            <w:tcW w:type="dxa" w:w="1800"/>
            <w:shd w:fill="EAF2FA"/>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100" w:type="dxa"/>
              <w:start w:w="115" w:type="dxa"/>
              <w:bottom w:w="100" w:type="dxa"/>
              <w:end w:w="115" w:type="dxa"/>
            </w:tcMar>
            <w:vAlign w:val="center"/>
          </w:tcPr>
          <w:p>
            <w:pPr>
              <w:jc w:val="center"/>
            </w:pPr>
            <w:r>
              <w:rPr>
                <w:b/>
                <w:color w:val="1F3958"/>
                <w:sz w:val="17"/>
              </w:rPr>
              <w:t>Anomaly</w:t>
            </w:r>
          </w:p>
        </w:tc>
        <w:tc>
          <w:tcPr>
            <w:tcW w:type="dxa" w:w="5976"/>
            <w:shd w:fill="EAF2FA"/>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100" w:type="dxa"/>
              <w:start w:w="115" w:type="dxa"/>
              <w:bottom w:w="100" w:type="dxa"/>
              <w:end w:w="115" w:type="dxa"/>
            </w:tcMar>
            <w:vAlign w:val="center"/>
          </w:tcPr>
          <w:p>
            <w:pPr>
              <w:jc w:val="center"/>
            </w:pPr>
            <w:r>
              <w:rPr>
                <w:b/>
                <w:color w:val="1F3958"/>
                <w:sz w:val="17"/>
              </w:rPr>
              <w:t>Detection Logic</w:t>
            </w:r>
          </w:p>
        </w:tc>
        <w:tc>
          <w:tcPr>
            <w:tcW w:type="dxa" w:w="2952"/>
            <w:shd w:fill="EAF2FA"/>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100" w:type="dxa"/>
              <w:start w:w="115" w:type="dxa"/>
              <w:bottom w:w="100" w:type="dxa"/>
              <w:end w:w="115" w:type="dxa"/>
            </w:tcMar>
            <w:vAlign w:val="center"/>
          </w:tcPr>
          <w:p>
            <w:pPr>
              <w:jc w:val="center"/>
            </w:pPr>
            <w:r>
              <w:rPr>
                <w:b/>
                <w:color w:val="1F3958"/>
                <w:sz w:val="17"/>
              </w:rPr>
              <w:t>Typical Recommendation</w:t>
            </w:r>
          </w:p>
        </w:tc>
      </w:tr>
      <w:tr>
        <w:tc>
          <w:tcPr>
            <w:tcW w:type="dxa" w:w="180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Overly permissive</w:t>
            </w:r>
          </w:p>
        </w:tc>
        <w:tc>
          <w:tcPr>
            <w:tcW w:type="dxa" w:w="5976"/>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An allow rule matches any source, any destination, and any port.</w:t>
            </w:r>
          </w:p>
        </w:tc>
        <w:tc>
          <w:tcPr>
            <w:tcW w:type="dxa" w:w="295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Replace with specific source, destination, and service constraints.</w:t>
            </w:r>
          </w:p>
        </w:tc>
      </w:tr>
      <w:tr>
        <w:tc>
          <w:tcPr>
            <w:tcW w:type="dxa" w:w="180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Shadow</w:t>
            </w:r>
          </w:p>
        </w:tc>
        <w:tc>
          <w:tcPr>
            <w:tcW w:type="dxa" w:w="5976"/>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A higher-priority rule fully covers a lower-priority rule and takes a different action.</w:t>
            </w:r>
          </w:p>
        </w:tc>
        <w:tc>
          <w:tcPr>
            <w:tcW w:type="dxa" w:w="295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Delete the lower rule or move it above the covering rule if the intent is valid.</w:t>
            </w:r>
          </w:p>
        </w:tc>
      </w:tr>
      <w:tr>
        <w:tc>
          <w:tcPr>
            <w:tcW w:type="dxa" w:w="180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Redundant</w:t>
            </w:r>
          </w:p>
        </w:tc>
        <w:tc>
          <w:tcPr>
            <w:tcW w:type="dxa" w:w="5976"/>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Two rules have the same traffic match fields and the same action.</w:t>
            </w:r>
          </w:p>
        </w:tc>
        <w:tc>
          <w:tcPr>
            <w:tcW w:type="dxa" w:w="295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Remove the lower-priority duplicate behavior.</w:t>
            </w:r>
          </w:p>
        </w:tc>
      </w:tr>
      <w:tr>
        <w:tc>
          <w:tcPr>
            <w:tcW w:type="dxa" w:w="180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Duplicate</w:t>
            </w:r>
          </w:p>
        </w:tc>
        <w:tc>
          <w:tcPr>
            <w:tcW w:type="dxa" w:w="5976"/>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All compared fields match, including source, destination, ports, protocol, action, and service name.</w:t>
            </w:r>
          </w:p>
        </w:tc>
        <w:tc>
          <w:tcPr>
            <w:tcW w:type="dxa" w:w="295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Delete the duplicate rule.</w:t>
            </w:r>
          </w:p>
        </w:tc>
      </w:tr>
      <w:tr>
        <w:tc>
          <w:tcPr>
            <w:tcW w:type="dxa" w:w="180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Overlap</w:t>
            </w:r>
          </w:p>
        </w:tc>
        <w:tc>
          <w:tcPr>
            <w:tcW w:type="dxa" w:w="5976"/>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Source ranges intersect, destination ranges intersect, and port ranges intersect, but the rules are not identical.</w:t>
            </w:r>
          </w:p>
        </w:tc>
        <w:tc>
          <w:tcPr>
            <w:tcW w:type="dxa" w:w="295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Review and consolidate, especially when actions conflict.</w:t>
            </w:r>
          </w:p>
        </w:tc>
      </w:tr>
    </w:tbl>
    <w:p>
      <w:pPr>
        <w:spacing w:before="0" w:after="40" w:line="250" w:lineRule="auto"/>
      </w:pPr>
      <w:r>
        <w:rPr>
          <w:b w:val="0"/>
        </w:rPr>
      </w:r>
    </w:p>
    <w:p>
      <w:pPr>
        <w:spacing w:before="140" w:after="100"/>
      </w:pPr>
      <w:r>
        <w:rPr>
          <w:b/>
          <w:color w:val="1F3958"/>
          <w:sz w:val="32"/>
        </w:rPr>
        <w:t>Orphan and Unused Rules</w:t>
      </w:r>
    </w:p>
    <w:p>
      <w:pPr>
        <w:spacing w:before="0" w:after="120" w:line="250" w:lineRule="auto"/>
      </w:pPr>
      <w:r>
        <w:rPr>
          <w:b w:val="0"/>
        </w:rPr>
        <w:t>Fortress Lens distinguishes between a rule that is structurally unreachable and a rule that has no evidence of use. Shadowed and redundant rules are structural findings caused by rule order and field coverage. Unused rules are evidence findings based on hit count and last-hit metadata. Both matter, but they answer different questions.</w:t>
      </w:r>
    </w:p>
    <w:p>
      <w:pPr>
        <w:spacing w:before="0" w:after="120" w:line="250" w:lineRule="auto"/>
      </w:pPr>
      <w:r>
        <w:rPr>
          <w:b w:val="0"/>
        </w:rPr>
        <w:t>Orphan-like rules are surfaced through several lenses: zero-hit rules in risk and hardening checks, rules tied to missing or weak topology context, and rules whose source or destination cannot be confidently associated with a known zone. The analyzer does not automatically delete these rules. It marks them for review because a rule can appear unused for legitimate reasons, such as seasonal traffic, emergency access, or incomplete hit-count export.</w:t>
      </w:r>
    </w:p>
    <w:tbl>
      <w:tblPr>
        <w:tblW w:type="auto" w:w="0"/>
        <w:jc w:val="center"/>
        <w:tblLayout w:type="autofit"/>
        <w:tblLook w:firstColumn="1" w:firstRow="1" w:lastColumn="0" w:lastRow="0" w:noHBand="0" w:noVBand="1" w:val="04A0"/>
      </w:tblPr>
      <w:tblGrid>
        <w:gridCol w:w="10454"/>
      </w:tblGrid>
      <w:tr>
        <w:tc>
          <w:tcPr>
            <w:tcW w:type="dxa" w:w="10454"/>
            <w:shd w:fill="E7F4F1"/>
            <w:tcBorders>
              <w:top w:val="single" w:sz="8" w:space="0" w:color="C8DAD6"/>
              <w:left w:val="single" w:sz="8" w:space="0" w:color="C8DAD6"/>
              <w:bottom w:val="single" w:sz="8" w:space="0" w:color="C8DAD6"/>
              <w:right w:val="single" w:sz="8" w:space="0" w:color="C8DAD6"/>
              <w:insideH w:val="single" w:sz="8" w:space="0" w:color="C8DAD6"/>
              <w:insideV w:val="single" w:sz="8" w:space="0" w:color="C8DAD6"/>
            </w:tcBorders>
            <w:tcMar>
              <w:top w:w="115" w:type="dxa"/>
              <w:start w:w="150" w:type="dxa"/>
              <w:bottom w:w="115" w:type="dxa"/>
              <w:end w:w="150" w:type="dxa"/>
            </w:tcMar>
          </w:tcPr>
          <w:p>
            <w:pPr>
              <w:spacing w:after="40"/>
            </w:pPr>
            <w:r>
              <w:rPr>
                <w:b/>
                <w:color w:val="288478"/>
                <w:sz w:val="20"/>
              </w:rPr>
              <w:t>Review posture</w:t>
            </w:r>
          </w:p>
          <w:p>
            <w:pPr>
              <w:spacing w:after="0" w:line="247" w:lineRule="auto"/>
            </w:pPr>
            <w:r>
              <w:rPr>
                <w:b w:val="0"/>
                <w:color w:val="263846"/>
                <w:sz w:val="18"/>
              </w:rPr>
              <w:t>Findings are designed to prioritize analyst review, not to make destructive changes. The system points out unreachable, duplicate, overlapping, and no-evidence rules, then leaves approval and remediation to the operator.</w:t>
            </w:r>
          </w:p>
        </w:tc>
      </w:tr>
    </w:tbl>
    <w:p>
      <w:pPr>
        <w:spacing w:before="0" w:after="40" w:line="250" w:lineRule="auto"/>
      </w:pPr>
      <w:r>
        <w:rPr>
          <w:b w:val="0"/>
        </w:rPr>
      </w:r>
    </w:p>
    <w:p>
      <w:pPr>
        <w:spacing w:before="140" w:after="100"/>
      </w:pPr>
      <w:r>
        <w:rPr>
          <w:b/>
          <w:color w:val="1F3958"/>
          <w:sz w:val="32"/>
        </w:rPr>
        <w:t>Normalization Matters</w:t>
      </w:r>
    </w:p>
    <w:p>
      <w:pPr>
        <w:spacing w:before="0" w:after="120" w:line="250" w:lineRule="auto"/>
      </w:pPr>
      <w:r>
        <w:rPr>
          <w:b w:val="0"/>
        </w:rPr>
        <w:t>A major part of the analyzer is making unlike vendor data comparable. The same idea may appear as any, all, 0.0.0.0/0, a named service, a numeric port, or a range. Fortress Lens normalizes those forms before comparison so a Cisco ACL, Palo Alto service object, or router-derived rule can be evaluated by the same analysis model.</w:t>
      </w:r>
    </w:p>
    <w:p>
      <w:pPr>
        <w:sectPr>
          <w:pgSz w:w="12240" w:h="15840"/>
          <w:pgMar w:top="792" w:right="893" w:bottom="720" w:left="893" w:header="720" w:footer="720" w:gutter="0"/>
          <w:cols w:space="720"/>
          <w:docGrid w:linePitch="360"/>
        </w:sectPr>
      </w:pPr>
    </w:p>
    <w:p>
      <w:pPr>
        <w:spacing w:before="140" w:after="100"/>
      </w:pPr>
      <w:r>
        <w:rPr>
          <w:b/>
          <w:color w:val="1F3958"/>
          <w:sz w:val="32"/>
        </w:rPr>
        <w:t>Compliance Mapping</w:t>
      </w:r>
    </w:p>
    <w:p>
      <w:pPr>
        <w:spacing w:before="0" w:after="120" w:line="250" w:lineRule="auto"/>
      </w:pPr>
      <w:r>
        <w:rPr>
          <w:b w:val="0"/>
        </w:rPr>
        <w:t>Compliance results are produced by framework-specific check sets. Each check maps a technical control expectation to observable evidence in rules, topology, connections, and threats. The output is pass, fail, warning, or not applicable, plus evidence and remediation text.</w:t>
      </w:r>
    </w:p>
    <w:tbl>
      <w:tblPr>
        <w:tblStyle w:val="TableGrid"/>
        <w:tblW w:type="auto" w:w="0"/>
        <w:jc w:val="center"/>
        <w:tblLook w:firstColumn="1" w:firstRow="1" w:lastColumn="0" w:lastRow="0" w:noHBand="0" w:noVBand="1" w:val="04A0"/>
      </w:tblPr>
      <w:tblGrid>
        <w:gridCol w:w="3485"/>
        <w:gridCol w:w="3485"/>
        <w:gridCol w:w="3485"/>
      </w:tblGrid>
      <w:tr>
        <w:tc>
          <w:tcPr>
            <w:tcW w:type="dxa" w:w="1944"/>
            <w:shd w:fill="EAF2FA"/>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100" w:type="dxa"/>
              <w:start w:w="115" w:type="dxa"/>
              <w:bottom w:w="100" w:type="dxa"/>
              <w:end w:w="115" w:type="dxa"/>
            </w:tcMar>
            <w:vAlign w:val="center"/>
          </w:tcPr>
          <w:p>
            <w:pPr>
              <w:jc w:val="center"/>
            </w:pPr>
            <w:r>
              <w:rPr>
                <w:b/>
                <w:color w:val="1F3958"/>
                <w:sz w:val="17"/>
              </w:rPr>
              <w:t>Framework</w:t>
            </w:r>
          </w:p>
        </w:tc>
        <w:tc>
          <w:tcPr>
            <w:tcW w:type="dxa" w:w="5976"/>
            <w:shd w:fill="EAF2FA"/>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100" w:type="dxa"/>
              <w:start w:w="115" w:type="dxa"/>
              <w:bottom w:w="100" w:type="dxa"/>
              <w:end w:w="115" w:type="dxa"/>
            </w:tcMar>
            <w:vAlign w:val="center"/>
          </w:tcPr>
          <w:p>
            <w:pPr>
              <w:jc w:val="center"/>
            </w:pPr>
            <w:r>
              <w:rPr>
                <w:b/>
                <w:color w:val="1F3958"/>
                <w:sz w:val="17"/>
              </w:rPr>
              <w:t>Examples of Mapped Logic</w:t>
            </w:r>
          </w:p>
        </w:tc>
        <w:tc>
          <w:tcPr>
            <w:tcW w:type="dxa" w:w="2808"/>
            <w:shd w:fill="EAF2FA"/>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100" w:type="dxa"/>
              <w:start w:w="115" w:type="dxa"/>
              <w:bottom w:w="100" w:type="dxa"/>
              <w:end w:w="115" w:type="dxa"/>
            </w:tcMar>
            <w:vAlign w:val="center"/>
          </w:tcPr>
          <w:p>
            <w:pPr>
              <w:jc w:val="center"/>
            </w:pPr>
            <w:r>
              <w:rPr>
                <w:b/>
                <w:color w:val="1F3958"/>
                <w:sz w:val="17"/>
              </w:rPr>
              <w:t>Evidence Used</w:t>
            </w:r>
          </w:p>
        </w:tc>
      </w:tr>
      <w:tr>
        <w:tc>
          <w:tcPr>
            <w:tcW w:type="dxa" w:w="194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PCI DSS 4.0</w:t>
            </w:r>
          </w:p>
        </w:tc>
        <w:tc>
          <w:tcPr>
            <w:tcW w:type="dxa" w:w="5976"/>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Looks for segmentation signals such as DMZ presence, no any-any allow, default-deny posture, boundary firewall coverage, and unresolved high threats.</w:t>
            </w:r>
          </w:p>
        </w:tc>
        <w:tc>
          <w:tcPr>
            <w:tcW w:type="dxa" w:w="2808"/>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Topology zones, firewall rules, threat records.</w:t>
            </w:r>
          </w:p>
        </w:tc>
      </w:tr>
      <w:tr>
        <w:tc>
          <w:tcPr>
            <w:tcW w:type="dxa" w:w="194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NIST 800-53</w:t>
            </w:r>
          </w:p>
        </w:tc>
        <w:tc>
          <w:tcPr>
            <w:tcW w:type="dxa" w:w="5976"/>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Maps to flow enforcement, boundary protection, least functionality, audit events, and monitoring.</w:t>
            </w:r>
          </w:p>
        </w:tc>
        <w:tc>
          <w:tcPr>
            <w:tcW w:type="dxa" w:w="2808"/>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Deny rules, entry-point devices, unused rules, connection logs, threat logs.</w:t>
            </w:r>
          </w:p>
        </w:tc>
      </w:tr>
      <w:tr>
        <w:tc>
          <w:tcPr>
            <w:tcW w:type="dxa" w:w="194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CIS Benchmarks</w:t>
            </w:r>
          </w:p>
        </w:tc>
        <w:tc>
          <w:tcPr>
            <w:tcW w:type="dxa" w:w="5976"/>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Checks management access restrictions, deny rule logging posture, absence of wide-open rules, and default deny.</w:t>
            </w:r>
          </w:p>
        </w:tc>
        <w:tc>
          <w:tcPr>
            <w:tcW w:type="dxa" w:w="2808"/>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Rules, admin ports, deny policies.</w:t>
            </w:r>
          </w:p>
        </w:tc>
      </w:tr>
      <w:tr>
        <w:tc>
          <w:tcPr>
            <w:tcW w:type="dxa" w:w="194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HIPAA</w:t>
            </w:r>
          </w:p>
        </w:tc>
        <w:tc>
          <w:tcPr>
            <w:tcW w:type="dxa" w:w="5976"/>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Evaluates access controls, audit trail availability, encrypted protocol usage, and threat monitoring.</w:t>
            </w:r>
          </w:p>
        </w:tc>
        <w:tc>
          <w:tcPr>
            <w:tcW w:type="dxa" w:w="2808"/>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Rules, connection logs, threat logs, service names.</w:t>
            </w:r>
          </w:p>
        </w:tc>
      </w:tr>
      <w:tr>
        <w:tc>
          <w:tcPr>
            <w:tcW w:type="dxa" w:w="194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SOX</w:t>
            </w:r>
          </w:p>
        </w:tc>
        <w:tc>
          <w:tcPr>
            <w:tcW w:type="dxa" w:w="5976"/>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Checks change-management capability, segregation-of-duties warning, least-privilege access, and audit logging.</w:t>
            </w:r>
          </w:p>
        </w:tc>
        <w:tc>
          <w:tcPr>
            <w:tcW w:type="dxa" w:w="2808"/>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Config backup/audit capability, rules, connections.</w:t>
            </w:r>
          </w:p>
        </w:tc>
      </w:tr>
    </w:tbl>
    <w:p>
      <w:pPr>
        <w:spacing w:before="0" w:after="40" w:line="250" w:lineRule="auto"/>
      </w:pPr>
      <w:r>
        <w:rPr>
          <w:b w:val="0"/>
        </w:rPr>
      </w:r>
    </w:p>
    <w:p>
      <w:pPr>
        <w:spacing w:before="140" w:after="100"/>
      </w:pPr>
      <w:r>
        <w:rPr>
          <w:b/>
          <w:color w:val="1F3958"/>
          <w:sz w:val="32"/>
        </w:rPr>
        <w:t>Scoring Model</w:t>
      </w:r>
    </w:p>
    <w:p>
      <w:pPr>
        <w:spacing w:before="0" w:after="120" w:line="250" w:lineRule="auto"/>
      </w:pPr>
      <w:r>
        <w:rPr>
          <w:b w:val="0"/>
        </w:rPr>
        <w:t>Each framework score is calculated from the status of its checks. Passing checks raise the score; failures and warnings affect the framework status. The analyzer reports a plain-language status such as Compliant, Partial, or Non-Compliant so executives can understand posture quickly while engineers can still inspect each individual control.</w:t>
      </w:r>
    </w:p>
    <w:tbl>
      <w:tblPr>
        <w:tblW w:type="auto" w:w="0"/>
        <w:jc w:val="center"/>
        <w:tblLayout w:type="autofit"/>
        <w:tblLook w:firstColumn="1" w:firstRow="1" w:lastColumn="0" w:lastRow="0" w:noHBand="0" w:noVBand="1" w:val="04A0"/>
      </w:tblPr>
      <w:tblGrid>
        <w:gridCol w:w="10454"/>
      </w:tblGrid>
      <w:tr>
        <w:tc>
          <w:tcPr>
            <w:tcW w:type="dxa" w:w="10454"/>
            <w:shd w:fill="E7F4F1"/>
            <w:tcBorders>
              <w:top w:val="single" w:sz="8" w:space="0" w:color="C8DAD6"/>
              <w:left w:val="single" w:sz="8" w:space="0" w:color="C8DAD6"/>
              <w:bottom w:val="single" w:sz="8" w:space="0" w:color="C8DAD6"/>
              <w:right w:val="single" w:sz="8" w:space="0" w:color="C8DAD6"/>
              <w:insideH w:val="single" w:sz="8" w:space="0" w:color="C8DAD6"/>
              <w:insideV w:val="single" w:sz="8" w:space="0" w:color="C8DAD6"/>
            </w:tcBorders>
            <w:tcMar>
              <w:top w:w="115" w:type="dxa"/>
              <w:start w:w="150" w:type="dxa"/>
              <w:bottom w:w="115" w:type="dxa"/>
              <w:end w:w="150" w:type="dxa"/>
            </w:tcMar>
          </w:tcPr>
          <w:p>
            <w:pPr>
              <w:spacing w:after="40"/>
            </w:pPr>
            <w:r>
              <w:rPr>
                <w:b/>
                <w:color w:val="288478"/>
                <w:sz w:val="20"/>
              </w:rPr>
              <w:t>Important limitation</w:t>
            </w:r>
          </w:p>
          <w:p>
            <w:pPr>
              <w:spacing w:after="0" w:line="247" w:lineRule="auto"/>
            </w:pPr>
            <w:r>
              <w:rPr>
                <w:b w:val="0"/>
                <w:color w:val="263846"/>
                <w:sz w:val="18"/>
              </w:rPr>
              <w:t>Compliance mapping is evidence-based. It validates what is visible in imported configurations, topology, traffic, threat records, and platform audit capability. It does not replace legal attestation, process review, asset classification, or interviews with control owners.</w:t>
            </w:r>
          </w:p>
        </w:tc>
      </w:tr>
    </w:tbl>
    <w:p>
      <w:pPr>
        <w:spacing w:before="0" w:after="40" w:line="250" w:lineRule="auto"/>
      </w:pPr>
      <w:r>
        <w:rPr>
          <w:b w:val="0"/>
        </w:rPr>
      </w:r>
    </w:p>
    <w:p>
      <w:pPr>
        <w:spacing w:before="140" w:after="100"/>
      </w:pPr>
      <w:r>
        <w:rPr>
          <w:b/>
          <w:color w:val="1F3958"/>
          <w:sz w:val="32"/>
        </w:rPr>
        <w:t>Device Hardening</w:t>
      </w:r>
    </w:p>
    <w:p>
      <w:pPr>
        <w:spacing w:before="0" w:after="120" w:line="250" w:lineRule="auto"/>
      </w:pPr>
      <w:r>
        <w:rPr>
          <w:b w:val="0"/>
        </w:rPr>
        <w:t>Device hardening runs a separate security checklist for firewall posture and device-specific configuration. Firewall hardening looks for default deny, absence of any-any allow, restricted administration, low unused-rule volume, blocked insecure services, and logging evidence. Switch hardening checks VLAN segmentation, native VLAN and trunk pruning, STP posture, port security, ACL coverage, and management SVI handling. Router hardening checks WAN ACLs, anti-spoofing, routing protocol safeguards, NAT exposure, ACL configuration, and interface posture.</w:t>
      </w:r>
    </w:p>
    <w:p>
      <w:pPr>
        <w:spacing w:before="0" w:after="120" w:line="250" w:lineRule="auto"/>
      </w:pPr>
      <w:r>
        <w:rPr>
          <w:b w:val="0"/>
        </w:rPr>
        <w:t>Hardening scores are easy to explain: failed checks deduct from a 100-point baseline according to severity. The result is a score and grade that can be compared across devices and trended over time.</w:t>
      </w:r>
    </w:p>
    <w:p>
      <w:pPr>
        <w:sectPr>
          <w:pgSz w:w="12240" w:h="15840"/>
          <w:pgMar w:top="792" w:right="893" w:bottom="720" w:left="893" w:header="720" w:footer="720" w:gutter="0"/>
          <w:cols w:space="720"/>
          <w:docGrid w:linePitch="360"/>
        </w:sectPr>
      </w:pPr>
    </w:p>
    <w:p>
      <w:pPr>
        <w:spacing w:before="140" w:after="100"/>
      </w:pPr>
      <w:r>
        <w:rPr>
          <w:b/>
          <w:color w:val="1F3958"/>
          <w:sz w:val="32"/>
        </w:rPr>
        <w:t>Attack Path and Topology Analysis</w:t>
      </w:r>
    </w:p>
    <w:p>
      <w:pPr>
        <w:spacing w:before="0" w:after="120" w:line="250" w:lineRule="auto"/>
      </w:pPr>
      <w:r>
        <w:rPr>
          <w:b w:val="0"/>
        </w:rPr>
        <w:t>After rules and topology are normalized, the analyzer builds a zone graph. Allow rules become edges between source and destination zones, enriched with the rule name, allowed port, and risk score. Entry zones come from topology entry-point markers or safe defaults. Target zones are selected from high-value labels such as database, core, application, or the last available zone when no explicit target is known.</w:t>
      </w:r>
    </w:p>
    <w:tbl>
      <w:tblPr>
        <w:tblStyle w:val="TableGrid"/>
        <w:tblW w:type="auto" w:w="0"/>
        <w:jc w:val="center"/>
        <w:tblLook w:firstColumn="1" w:firstRow="1" w:lastColumn="0" w:lastRow="0" w:noHBand="0" w:noVBand="1" w:val="04A0"/>
      </w:tblPr>
      <w:tblGrid>
        <w:gridCol w:w="3485"/>
        <w:gridCol w:w="3485"/>
        <w:gridCol w:w="3485"/>
      </w:tblGrid>
      <w:tr>
        <w:tc>
          <w:tcPr>
            <w:tcW w:type="dxa" w:w="1584"/>
            <w:shd w:fill="EAF2FA"/>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100" w:type="dxa"/>
              <w:start w:w="115" w:type="dxa"/>
              <w:bottom w:w="100" w:type="dxa"/>
              <w:end w:w="115" w:type="dxa"/>
            </w:tcMar>
            <w:vAlign w:val="center"/>
          </w:tcPr>
          <w:p>
            <w:pPr>
              <w:jc w:val="center"/>
            </w:pPr>
            <w:r>
              <w:rPr>
                <w:b/>
                <w:color w:val="1F3958"/>
                <w:sz w:val="17"/>
              </w:rPr>
              <w:t>Step</w:t>
            </w:r>
          </w:p>
        </w:tc>
        <w:tc>
          <w:tcPr>
            <w:tcW w:type="dxa" w:w="6264"/>
            <w:shd w:fill="EAF2FA"/>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100" w:type="dxa"/>
              <w:start w:w="115" w:type="dxa"/>
              <w:bottom w:w="100" w:type="dxa"/>
              <w:end w:w="115" w:type="dxa"/>
            </w:tcMar>
            <w:vAlign w:val="center"/>
          </w:tcPr>
          <w:p>
            <w:pPr>
              <w:jc w:val="center"/>
            </w:pPr>
            <w:r>
              <w:rPr>
                <w:b/>
                <w:color w:val="1F3958"/>
                <w:sz w:val="17"/>
              </w:rPr>
              <w:t>Logic</w:t>
            </w:r>
          </w:p>
        </w:tc>
        <w:tc>
          <w:tcPr>
            <w:tcW w:type="dxa" w:w="2880"/>
            <w:shd w:fill="EAF2FA"/>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100" w:type="dxa"/>
              <w:start w:w="115" w:type="dxa"/>
              <w:bottom w:w="100" w:type="dxa"/>
              <w:end w:w="115" w:type="dxa"/>
            </w:tcMar>
            <w:vAlign w:val="center"/>
          </w:tcPr>
          <w:p>
            <w:pPr>
              <w:jc w:val="center"/>
            </w:pPr>
            <w:r>
              <w:rPr>
                <w:b/>
                <w:color w:val="1F3958"/>
                <w:sz w:val="17"/>
              </w:rPr>
              <w:t>Result</w:t>
            </w:r>
          </w:p>
        </w:tc>
      </w:tr>
      <w:tr>
        <w:tc>
          <w:tcPr>
            <w:tcW w:type="dxa" w:w="158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Build graph</w:t>
            </w:r>
          </w:p>
        </w:tc>
        <w:tc>
          <w:tcPr>
            <w:tcW w:type="dxa" w:w="626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Translate allow rules into zone-to-zone edges, using topology zones and rule fields.</w:t>
            </w:r>
          </w:p>
        </w:tc>
        <w:tc>
          <w:tcPr>
            <w:tcW w:type="dxa" w:w="288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A directional reachability model.</w:t>
            </w:r>
          </w:p>
        </w:tc>
      </w:tr>
      <w:tr>
        <w:tc>
          <w:tcPr>
            <w:tcW w:type="dxa" w:w="158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Search paths</w:t>
            </w:r>
          </w:p>
        </w:tc>
        <w:tc>
          <w:tcPr>
            <w:tcW w:type="dxa" w:w="626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Run bounded depth-first search from entry zones to target zones with loop prevention and path caps.</w:t>
            </w:r>
          </w:p>
        </w:tc>
        <w:tc>
          <w:tcPr>
            <w:tcW w:type="dxa" w:w="288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Candidate attack paths without runaway memory use.</w:t>
            </w:r>
          </w:p>
        </w:tc>
      </w:tr>
      <w:tr>
        <w:tc>
          <w:tcPr>
            <w:tcW w:type="dxa" w:w="158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Score paths</w:t>
            </w:r>
          </w:p>
        </w:tc>
        <w:tc>
          <w:tcPr>
            <w:tcW w:type="dxa" w:w="626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Sum hop risks and cap the total for presentation.</w:t>
            </w:r>
          </w:p>
        </w:tc>
        <w:tc>
          <w:tcPr>
            <w:tcW w:type="dxa" w:w="288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Low, medium, high, or critical path risk.</w:t>
            </w:r>
          </w:p>
        </w:tc>
      </w:tr>
      <w:tr>
        <w:tc>
          <w:tcPr>
            <w:tcW w:type="dxa" w:w="158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Identify weak link</w:t>
            </w:r>
          </w:p>
        </w:tc>
        <w:tc>
          <w:tcPr>
            <w:tcW w:type="dxa" w:w="626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Select the highest-risk hop in the path.</w:t>
            </w:r>
          </w:p>
        </w:tc>
        <w:tc>
          <w:tcPr>
            <w:tcW w:type="dxa" w:w="288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A concrete rule or service to remediate first.</w:t>
            </w:r>
          </w:p>
        </w:tc>
      </w:tr>
      <w:tr>
        <w:tc>
          <w:tcPr>
            <w:tcW w:type="dxa" w:w="158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Store evidence</w:t>
            </w:r>
          </w:p>
        </w:tc>
        <w:tc>
          <w:tcPr>
            <w:tcW w:type="dxa" w:w="6264"/>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Save path hops, risk, vulnerable ports, and calculated timestamp.</w:t>
            </w:r>
          </w:p>
        </w:tc>
        <w:tc>
          <w:tcPr>
            <w:tcW w:type="dxa" w:w="2880"/>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Repeatable dashboard and report output.</w:t>
            </w:r>
          </w:p>
        </w:tc>
      </w:tr>
    </w:tbl>
    <w:p>
      <w:pPr>
        <w:spacing w:before="0" w:after="40" w:line="250" w:lineRule="auto"/>
      </w:pPr>
      <w:r>
        <w:rPr>
          <w:b w:val="0"/>
        </w:rPr>
      </w:r>
    </w:p>
    <w:p>
      <w:pPr>
        <w:spacing w:before="140" w:after="100"/>
      </w:pPr>
      <w:r>
        <w:rPr>
          <w:b/>
          <w:color w:val="1F3958"/>
          <w:sz w:val="32"/>
        </w:rPr>
        <w:t>What the Analyzer Does Not Do</w:t>
      </w:r>
    </w:p>
    <w:p>
      <w:pPr>
        <w:spacing w:before="0" w:after="120" w:line="250" w:lineRule="auto"/>
      </w:pPr>
      <w:r>
        <w:rPr>
          <w:b w:val="0"/>
        </w:rPr>
        <w:t>Fortress Lens does not expose credentials, modify firewall devices, delete live database content, or automatically change production policies. It does not claim that a rule is safe simply because it passes one check. It also does not reveal private scoring details, proprietary tuning, or customer secrets in reports.</w:t>
      </w:r>
    </w:p>
    <w:p>
      <w:pPr>
        <w:spacing w:before="140" w:after="100"/>
      </w:pPr>
      <w:r>
        <w:rPr>
          <w:b/>
          <w:color w:val="1F3958"/>
          <w:sz w:val="32"/>
        </w:rPr>
        <w:t>How to Read a Finding</w:t>
      </w:r>
    </w:p>
    <w:tbl>
      <w:tblPr>
        <w:tblStyle w:val="TableGrid"/>
        <w:tblW w:type="auto" w:w="0"/>
        <w:jc w:val="center"/>
        <w:tblLook w:firstColumn="1" w:firstRow="1" w:lastColumn="0" w:lastRow="0" w:noHBand="0" w:noVBand="1" w:val="04A0"/>
      </w:tblPr>
      <w:tblGrid>
        <w:gridCol w:w="5227"/>
        <w:gridCol w:w="5227"/>
      </w:tblGrid>
      <w:tr>
        <w:tc>
          <w:tcPr>
            <w:tcW w:type="dxa" w:w="2232"/>
            <w:shd w:fill="EAF2FA"/>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100" w:type="dxa"/>
              <w:start w:w="115" w:type="dxa"/>
              <w:bottom w:w="100" w:type="dxa"/>
              <w:end w:w="115" w:type="dxa"/>
            </w:tcMar>
            <w:vAlign w:val="center"/>
          </w:tcPr>
          <w:p>
            <w:pPr>
              <w:jc w:val="center"/>
            </w:pPr>
            <w:r>
              <w:rPr>
                <w:b/>
                <w:color w:val="1F3958"/>
                <w:sz w:val="17"/>
              </w:rPr>
              <w:t>Field</w:t>
            </w:r>
          </w:p>
        </w:tc>
        <w:tc>
          <w:tcPr>
            <w:tcW w:type="dxa" w:w="8496"/>
            <w:shd w:fill="EAF2FA"/>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100" w:type="dxa"/>
              <w:start w:w="115" w:type="dxa"/>
              <w:bottom w:w="100" w:type="dxa"/>
              <w:end w:w="115" w:type="dxa"/>
            </w:tcMar>
            <w:vAlign w:val="center"/>
          </w:tcPr>
          <w:p>
            <w:pPr>
              <w:jc w:val="center"/>
            </w:pPr>
            <w:r>
              <w:rPr>
                <w:b/>
                <w:color w:val="1F3958"/>
                <w:sz w:val="17"/>
              </w:rPr>
              <w:t>Meaning</w:t>
            </w:r>
          </w:p>
        </w:tc>
      </w:tr>
      <w:tr>
        <w:tc>
          <w:tcPr>
            <w:tcW w:type="dxa" w:w="223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Severity</w:t>
            </w:r>
          </w:p>
        </w:tc>
        <w:tc>
          <w:tcPr>
            <w:tcW w:type="dxa" w:w="8496"/>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Business urgency based on exposure, control weakness, and likely impact.</w:t>
            </w:r>
          </w:p>
        </w:tc>
      </w:tr>
      <w:tr>
        <w:tc>
          <w:tcPr>
            <w:tcW w:type="dxa" w:w="223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Evidence</w:t>
            </w:r>
          </w:p>
        </w:tc>
        <w:tc>
          <w:tcPr>
            <w:tcW w:type="dxa" w:w="8496"/>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The rule, device, topology element, traffic record, or threat record that triggered the finding.</w:t>
            </w:r>
          </w:p>
        </w:tc>
      </w:tr>
      <w:tr>
        <w:tc>
          <w:tcPr>
            <w:tcW w:type="dxa" w:w="223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Reason</w:t>
            </w:r>
          </w:p>
        </w:tc>
        <w:tc>
          <w:tcPr>
            <w:tcW w:type="dxa" w:w="8496"/>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Plain-language explanation of why the analyzer flagged it.</w:t>
            </w:r>
          </w:p>
        </w:tc>
      </w:tr>
      <w:tr>
        <w:tc>
          <w:tcPr>
            <w:tcW w:type="dxa" w:w="223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Recommendation</w:t>
            </w:r>
          </w:p>
        </w:tc>
        <w:tc>
          <w:tcPr>
            <w:tcW w:type="dxa" w:w="8496"/>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The safest next step, such as restrict, remove, reorder, monitor, or verify ownership.</w:t>
            </w:r>
          </w:p>
        </w:tc>
      </w:tr>
      <w:tr>
        <w:tc>
          <w:tcPr>
            <w:tcW w:type="dxa" w:w="2232"/>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Source</w:t>
            </w:r>
          </w:p>
        </w:tc>
        <w:tc>
          <w:tcPr>
            <w:tcW w:type="dxa" w:w="8496"/>
            <w:tcBorders>
              <w:top w:val="single" w:sz="8" w:space="0" w:color="D8DEE6"/>
              <w:left w:val="single" w:sz="8" w:space="0" w:color="D8DEE6"/>
              <w:bottom w:val="single" w:sz="8" w:space="0" w:color="D8DEE6"/>
              <w:right w:val="single" w:sz="8" w:space="0" w:color="D8DEE6"/>
              <w:insideH w:val="single" w:sz="8" w:space="0" w:color="D8DEE6"/>
              <w:insideV w:val="single" w:sz="8" w:space="0" w:color="D8DEE6"/>
            </w:tcBorders>
            <w:tcMar>
              <w:top w:w="95" w:type="dxa"/>
              <w:start w:w="110" w:type="dxa"/>
              <w:bottom w:w="95" w:type="dxa"/>
              <w:end w:w="110" w:type="dxa"/>
            </w:tcMar>
            <w:vAlign w:val="center"/>
          </w:tcPr>
          <w:p>
            <w:pPr>
              <w:spacing w:line="240" w:lineRule="auto"/>
              <w:jc w:val="left"/>
            </w:pPr>
            <w:r>
              <w:rPr>
                <w:b w:val="0"/>
                <w:color w:val="2C3640"/>
                <w:sz w:val="16"/>
              </w:rPr>
              <w:t>Whether the data came from configuration projection, syslog, CSV import, or parsed topology.</w:t>
            </w:r>
          </w:p>
        </w:tc>
      </w:tr>
    </w:tbl>
    <w:p>
      <w:pPr>
        <w:spacing w:before="0" w:after="40" w:line="250" w:lineRule="auto"/>
      </w:pPr>
      <w:r>
        <w:rPr>
          <w:b w:val="0"/>
        </w:rPr>
      </w:r>
    </w:p>
    <w:tbl>
      <w:tblPr>
        <w:tblW w:type="auto" w:w="0"/>
        <w:jc w:val="center"/>
        <w:tblLayout w:type="autofit"/>
        <w:tblLook w:firstColumn="1" w:firstRow="1" w:lastColumn="0" w:lastRow="0" w:noHBand="0" w:noVBand="1" w:val="04A0"/>
      </w:tblPr>
      <w:tblGrid>
        <w:gridCol w:w="10454"/>
      </w:tblGrid>
      <w:tr>
        <w:tc>
          <w:tcPr>
            <w:tcW w:type="dxa" w:w="10454"/>
            <w:shd w:fill="E7F4F1"/>
            <w:tcBorders>
              <w:top w:val="single" w:sz="8" w:space="0" w:color="C8DAD6"/>
              <w:left w:val="single" w:sz="8" w:space="0" w:color="C8DAD6"/>
              <w:bottom w:val="single" w:sz="8" w:space="0" w:color="C8DAD6"/>
              <w:right w:val="single" w:sz="8" w:space="0" w:color="C8DAD6"/>
              <w:insideH w:val="single" w:sz="8" w:space="0" w:color="C8DAD6"/>
              <w:insideV w:val="single" w:sz="8" w:space="0" w:color="C8DAD6"/>
            </w:tcBorders>
            <w:tcMar>
              <w:top w:w="115" w:type="dxa"/>
              <w:start w:w="150" w:type="dxa"/>
              <w:bottom w:w="115" w:type="dxa"/>
              <w:end w:w="150" w:type="dxa"/>
            </w:tcMar>
          </w:tcPr>
          <w:p>
            <w:pPr>
              <w:spacing w:after="40"/>
            </w:pPr>
            <w:r>
              <w:rPr>
                <w:b/>
                <w:color w:val="288478"/>
                <w:sz w:val="20"/>
              </w:rPr>
              <w:t>Bottom line</w:t>
            </w:r>
          </w:p>
          <w:p>
            <w:pPr>
              <w:spacing w:after="0" w:line="247" w:lineRule="auto"/>
            </w:pPr>
            <w:r>
              <w:rPr>
                <w:b w:val="0"/>
                <w:color w:val="263846"/>
                <w:sz w:val="18"/>
              </w:rPr>
              <w:t>The analyzer works like a security review pipeline: normalize vendor-specific inputs, compare rules using network-aware logic, map observable evidence to risk and compliance controls, model reachable paths, and return findings that explain what to fix first without exposing private algorithms or sensitive data.</w:t>
            </w:r>
          </w:p>
        </w:tc>
      </w:tr>
    </w:tbl>
    <w:p>
      <w:pPr>
        <w:spacing w:before="0" w:after="40" w:line="250" w:lineRule="auto"/>
      </w:pPr>
      <w:r>
        <w:rPr>
          <w:b w:val="0"/>
        </w:rPr>
      </w:r>
    </w:p>
    <w:sectPr w:rsidR="00FC693F" w:rsidRPr="0006063C" w:rsidSect="00034616">
      <w:pgSz w:w="12240" w:h="15840"/>
      <w:pgMar w:top="792"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color w:val="5F6770"/>
        <w:sz w:val="16"/>
      </w:rPr>
      <w:t>Fortress Lens Analyzer Overview | Customer-Safe Technical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Fortress Lens Analyzer - How It Works</dc:title>
  <dc:subject>Customer-safe technical explanation</dc:subject>
  <dc:creator>Fortress Lens</dc:creator>
  <cp:keywords/>
  <dc:description>generated by python-docx</dc:description>
  <cp:lastModifiedBy/>
  <cp:revision>1</cp:revision>
  <dcterms:created xsi:type="dcterms:W3CDTF">2013-12-23T23:15:00Z</dcterms:created>
  <dcterms:modified xsi:type="dcterms:W3CDTF">2013-12-23T23:15:00Z</dcterms:modified>
  <cp:category/>
</cp:coreProperties>
</file>