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A1F1C5" w14:textId="16DE3177" w:rsidR="00E370AF" w:rsidRDefault="006354C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6354C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6354CB">
            <w:r>
              <w:t>Date</w:t>
            </w:r>
          </w:p>
        </w:tc>
        <w:tc>
          <w:tcPr>
            <w:tcW w:w="4508" w:type="dxa"/>
          </w:tcPr>
          <w:p w14:paraId="23F44226" w14:textId="601405FE" w:rsidR="00E370AF" w:rsidRDefault="006354CB">
            <w:r>
              <w:t>25 JUNE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6354CB">
            <w:r>
              <w:t>Team ID</w:t>
            </w:r>
          </w:p>
        </w:tc>
        <w:tc>
          <w:tcPr>
            <w:tcW w:w="4508" w:type="dxa"/>
          </w:tcPr>
          <w:p w14:paraId="039224E5" w14:textId="736EB609" w:rsidR="00E370AF" w:rsidRDefault="006354CB"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 SWTID2026</w:t>
            </w: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9563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6354CB">
            <w:r>
              <w:t>Project Name</w:t>
            </w:r>
          </w:p>
        </w:tc>
        <w:tc>
          <w:tcPr>
            <w:tcW w:w="4508" w:type="dxa"/>
          </w:tcPr>
          <w:p w14:paraId="4E717950" w14:textId="719649C3" w:rsidR="00E370AF" w:rsidRDefault="006354CB">
            <w:r>
              <w:t>Smart Lender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6354CB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6354CB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6354CB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Solution architecture is a complex process – with many sub-processes – that bridges </w:t>
      </w:r>
      <w:bookmarkStart w:id="0" w:name="_GoBack"/>
      <w:bookmarkEnd w:id="0"/>
      <w:r>
        <w:rPr>
          <w:rFonts w:ascii="Arial" w:eastAsia="Arial" w:hAnsi="Arial" w:cs="Arial"/>
          <w:color w:val="000000"/>
          <w:sz w:val="24"/>
          <w:szCs w:val="24"/>
        </w:rPr>
        <w:t xml:space="preserve">the gap between business </w:t>
      </w:r>
      <w:r>
        <w:rPr>
          <w:rFonts w:ascii="Arial" w:eastAsia="Arial" w:hAnsi="Arial" w:cs="Arial"/>
          <w:color w:val="000000"/>
          <w:sz w:val="24"/>
          <w:szCs w:val="24"/>
        </w:rPr>
        <w:t>problems and technology solutions. Its goals are to:</w:t>
      </w:r>
    </w:p>
    <w:p w14:paraId="12760434" w14:textId="77777777" w:rsidR="00E370AF" w:rsidRDefault="006354CB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6354CB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6354CB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phases, and solution requirements.</w:t>
      </w:r>
    </w:p>
    <w:p w14:paraId="2C0C9151" w14:textId="77777777" w:rsidR="00E370AF" w:rsidRDefault="006354CB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Provide specifications according to which the solution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is defined, managed, and delivered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6354CB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6354CB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6354CB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Figure 1: Architecture and data flow of the </w:t>
      </w:r>
      <w:proofErr w:type="gramStart"/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voice patient diary sample application</w:t>
      </w:r>
      <w:proofErr w:type="gramEnd"/>
    </w:p>
    <w:p w14:paraId="4E909796" w14:textId="77777777" w:rsidR="00E370AF" w:rsidRDefault="006354CB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</w:t>
        </w:r>
        <w:r>
          <w:rPr>
            <w:b/>
            <w:color w:val="0563C1"/>
            <w:u w:val="single"/>
          </w:rPr>
          <w:t>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1802035B-AD84-42C6-A069-7BE7EE739BC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F49FFFA-5C2B-4BBB-8481-07936D18A712}"/>
    <w:embedBold r:id="rId3" w:fontKey="{32981969-0B9F-4346-9921-41E8E7AB893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92F8486-D54E-4916-8FFB-A335945EDEBE}"/>
    <w:embedItalic r:id="rId5" w:fontKey="{4851B9E6-E858-4F40-9676-B0CC2B7D5A2B}"/>
  </w:font>
  <w:font w:name="Montserra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DB74E06F-D008-44DC-8B36-C0056BA00317}"/>
    <w:embedItalic r:id="rId7" w:fontKey="{54F49448-5CEF-42B6-A669-7EE6FB38E76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96AEFF99-E370-41BF-BB44-F851BA95517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0AF"/>
    <w:rsid w:val="00267921"/>
    <w:rsid w:val="006354CB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HP</cp:lastModifiedBy>
  <cp:revision>3</cp:revision>
  <dcterms:created xsi:type="dcterms:W3CDTF">2022-10-03T08:27:00Z</dcterms:created>
  <dcterms:modified xsi:type="dcterms:W3CDTF">2026-07-05T12:47:00Z</dcterms:modified>
</cp:coreProperties>
</file>