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color w:val="1F3B57"/>
          <w:sz w:val="40"/>
          <w:szCs w:val="40"/>
        </w:rPr>
        <w:t xml:space="preserve">AI-Based Hand Rehabilitation Recovery Monitoring System</w:t>
      </w:r>
    </w:p>
    <w:p>
      <w:pPr>
        <w:spacing w:after="200"/>
        <w:jc w:val="center"/>
      </w:pPr>
      <w:r>
        <w:rPr>
          <w:rFonts w:ascii="Calibri" w:cs="Calibri" w:eastAsia="Calibri" w:hAnsi="Calibri"/>
          <w:i/>
          <w:iCs/>
          <w:color w:val="555555"/>
          <w:sz w:val="24"/>
          <w:szCs w:val="24"/>
        </w:rPr>
        <w:t xml:space="preserve">Using NLP, Hand-Pose Tracking and Sequence Models (RNN, LSTM, GRU, BiLSTM) with Sign Language Support</w:t>
      </w:r>
    </w:p>
    <w:p>
      <w:pPr>
        <w:pStyle w:val="Heading1"/>
        <w:spacing w:after="120" w:before="300"/>
      </w:pPr>
      <w:r>
        <w:rPr>
          <w:rFonts w:ascii="Calibri" w:cs="Calibri" w:eastAsia="Calibri" w:hAnsi="Calibri"/>
          <w:b/>
          <w:bCs/>
          <w:color w:val="1F3B57"/>
          <w:sz w:val="28"/>
          <w:szCs w:val="28"/>
        </w:rPr>
        <w:t xml:space="preserve">1. Project Overview</w:t>
      </w:r>
    </w:p>
    <w:p>
      <w:pPr>
        <w:spacing w:after="100"/>
      </w:pPr>
      <w:r>
        <w:rPr>
          <w:rFonts w:ascii="Calibri" w:cs="Calibri" w:eastAsia="Calibri" w:hAnsi="Calibri"/>
          <w:sz w:val="22"/>
          <w:szCs w:val="22"/>
        </w:rPr>
        <w:t xml:space="preserve">The system is a web application that helps patients recover hand function. Patients write (or speak) a daily rehab diary, perform exercises in front of a webcam, and practise sign language as a dexterity exercise. NLP extracts symptoms from the diary, hand tracking measures real movement, and sequence models analyse the recovery trend over time and warn when recovery stalls or relapses. Everything is shown on a single user dashboard.</w:t>
      </w:r>
    </w:p>
    <w:p>
      <w:pPr>
        <w:pStyle w:val="Heading1"/>
        <w:spacing w:after="120" w:before="300"/>
      </w:pPr>
      <w:r>
        <w:rPr>
          <w:rFonts w:ascii="Calibri" w:cs="Calibri" w:eastAsia="Calibri" w:hAnsi="Calibri"/>
          <w:b/>
          <w:bCs/>
          <w:color w:val="1F3B57"/>
          <w:sz w:val="28"/>
          <w:szCs w:val="28"/>
        </w:rPr>
        <w:t xml:space="preserve">2. Novel Features Added</w:t>
      </w:r>
    </w:p>
    <w:p>
      <w:pPr>
        <w:pStyle w:val="ListParagraph"/>
        <w:numPr>
          <w:ilvl w:val="0"/>
          <w:numId w:val="2"/>
        </w:numPr>
        <w:spacing w:after="60"/>
      </w:pPr>
      <w:r>
        <w:rPr>
          <w:rFonts w:ascii="Calibri" w:cs="Calibri" w:eastAsia="Calibri" w:hAnsi="Calibri"/>
          <w:b/>
          <w:bCs/>
          <w:sz w:val="22"/>
          <w:szCs w:val="22"/>
        </w:rPr>
        <w:t xml:space="preserve">Webcam Exercise Form Checker:</w:t>
      </w:r>
      <w:r>
        <w:rPr>
          <w:rFonts w:ascii="Calibri" w:cs="Calibri" w:eastAsia="Calibri" w:hAnsi="Calibri"/>
          <w:sz w:val="22"/>
          <w:szCs w:val="22"/>
        </w:rPr>
        <w:t xml:space="preserve"> The user performs an exercise on camera. MediaPipe Hands tracks 21 hand landmarks and the system calculates joint angles, range of motion, repetition count and a form score against the target in the Exercise DB. This adds objective measurement to the diary-based (subjective) data.</w:t>
      </w:r>
    </w:p>
    <w:p>
      <w:pPr>
        <w:pStyle w:val="ListParagraph"/>
        <w:numPr>
          <w:ilvl w:val="0"/>
          <w:numId w:val="2"/>
        </w:numPr>
        <w:spacing w:after="60"/>
      </w:pPr>
      <w:r>
        <w:rPr>
          <w:rFonts w:ascii="Calibri" w:cs="Calibri" w:eastAsia="Calibri" w:hAnsi="Calibri"/>
          <w:b/>
          <w:bCs/>
          <w:sz w:val="22"/>
          <w:szCs w:val="22"/>
        </w:rPr>
        <w:t xml:space="preserve">Sign Language as a Rehab Exercise:</w:t>
      </w:r>
      <w:r>
        <w:rPr>
          <w:rFonts w:ascii="Calibri" w:cs="Calibri" w:eastAsia="Calibri" w:hAnsi="Calibri"/>
          <w:sz w:val="22"/>
          <w:szCs w:val="22"/>
        </w:rPr>
        <w:t xml:space="preserve"> Practising signs is itself a hand-dexterity exercise. Sign recognition accuracy and speed become a dexterity score, linking the Sign Language module with rehabilitation. Deaf users can also use signs as input.</w:t>
      </w:r>
    </w:p>
    <w:p>
      <w:pPr>
        <w:pStyle w:val="ListParagraph"/>
        <w:numPr>
          <w:ilvl w:val="0"/>
          <w:numId w:val="2"/>
        </w:numPr>
        <w:spacing w:after="60"/>
      </w:pPr>
      <w:r>
        <w:rPr>
          <w:rFonts w:ascii="Calibri" w:cs="Calibri" w:eastAsia="Calibri" w:hAnsi="Calibri"/>
          <w:b/>
          <w:bCs/>
          <w:sz w:val="22"/>
          <w:szCs w:val="22"/>
        </w:rPr>
        <w:t xml:space="preserve">Plateau and Relapse Early Warning:</w:t>
      </w:r>
      <w:r>
        <w:rPr>
          <w:rFonts w:ascii="Calibri" w:cs="Calibri" w:eastAsia="Calibri" w:hAnsi="Calibri"/>
          <w:sz w:val="22"/>
          <w:szCs w:val="22"/>
        </w:rPr>
        <w:t xml:space="preserve"> The temporal model flags when recovery stalls or when pain and stiffness start rising again, and advises the user to consult their physiotherapist.</w:t>
      </w:r>
    </w:p>
    <w:p>
      <w:pPr>
        <w:pStyle w:val="Heading1"/>
        <w:spacing w:after="120" w:before="300"/>
      </w:pPr>
      <w:r>
        <w:rPr>
          <w:rFonts w:ascii="Calibri" w:cs="Calibri" w:eastAsia="Calibri" w:hAnsi="Calibri"/>
          <w:b/>
          <w:bCs/>
          <w:color w:val="1F3B57"/>
          <w:sz w:val="28"/>
          <w:szCs w:val="28"/>
        </w:rPr>
        <w:t xml:space="preserve">3. Workflow Diagram</w:t>
      </w:r>
    </w:p>
    <w:p>
      <w:pPr>
        <w:spacing w:after="100"/>
        <w:jc w:val="center"/>
      </w:pPr>
      <w:r>
        <w:drawing>
          <wp:inline distT="0" distB="0" distL="0" distR="0">
            <wp:extent cx="5334000" cy="5686425"/>
            <wp:effectExtent t="0" r="0" b="0" l="0"/>
            <wp:docPr id="1" name="flow" descr="Project workflow diagram" title="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5686425"/>
                    </a:xfrm>
                    <a:prstGeom prst="rect">
                      <a:avLst/>
                    </a:prstGeom>
                  </pic:spPr>
                </pic:pic>
              </a:graphicData>
            </a:graphic>
          </wp:inline>
        </w:drawing>
      </w:r>
    </w:p>
    <w:p>
      <w:pPr>
        <w:jc w:val="center"/>
      </w:pPr>
      <w:r>
        <w:rPr>
          <w:rFonts w:ascii="Calibri" w:cs="Calibri" w:eastAsia="Calibri" w:hAnsi="Calibri"/>
          <w:i/>
          <w:iCs/>
          <w:color w:val="555555"/>
          <w:sz w:val="20"/>
          <w:szCs w:val="20"/>
        </w:rPr>
        <w:t xml:space="preserve">Figure 1: Overall project workflow</w:t>
      </w:r>
    </w:p>
    <w:p>
      <w:pPr>
        <w:pStyle w:val="Heading1"/>
        <w:spacing w:after="120" w:before="300"/>
      </w:pPr>
      <w:r>
        <w:rPr>
          <w:rFonts w:ascii="Calibri" w:cs="Calibri" w:eastAsia="Calibri" w:hAnsi="Calibri"/>
          <w:b/>
          <w:bCs/>
          <w:color w:val="1F3B57"/>
          <w:sz w:val="28"/>
          <w:szCs w:val="28"/>
        </w:rPr>
        <w:t xml:space="preserve">4. How the Project Works</w:t>
      </w:r>
    </w:p>
    <w:p>
      <w:pPr>
        <w:pStyle w:val="ListParagraph"/>
        <w:numPr>
          <w:ilvl w:val="0"/>
          <w:numId w:val="3"/>
        </w:numPr>
        <w:spacing w:after="70"/>
      </w:pPr>
      <w:r>
        <w:rPr>
          <w:rFonts w:ascii="Calibri" w:cs="Calibri" w:eastAsia="Calibri" w:hAnsi="Calibri"/>
          <w:b/>
          <w:bCs/>
          <w:sz w:val="22"/>
          <w:szCs w:val="22"/>
        </w:rPr>
        <w:t xml:space="preserve">Step 1 - Access:</w:t>
      </w:r>
      <w:r>
        <w:rPr>
          <w:rFonts w:ascii="Calibri" w:cs="Calibri" w:eastAsia="Calibri" w:hAnsi="Calibri"/>
          <w:sz w:val="22"/>
          <w:szCs w:val="22"/>
        </w:rPr>
        <w:t xml:space="preserve"> The user logs in to the web application and chooses a diary entry, an exercise session, or a sign practice session.</w:t>
      </w:r>
    </w:p>
    <w:p>
      <w:pPr>
        <w:pStyle w:val="ListParagraph"/>
        <w:numPr>
          <w:ilvl w:val="0"/>
          <w:numId w:val="3"/>
        </w:numPr>
        <w:spacing w:after="70"/>
      </w:pPr>
      <w:r>
        <w:rPr>
          <w:rFonts w:ascii="Calibri" w:cs="Calibri" w:eastAsia="Calibri" w:hAnsi="Calibri"/>
          <w:b/>
          <w:bCs/>
          <w:sz w:val="22"/>
          <w:szCs w:val="22"/>
        </w:rPr>
        <w:t xml:space="preserve">Step 2 - Diary Analysis (NLP):</w:t>
      </w:r>
      <w:r>
        <w:rPr>
          <w:rFonts w:ascii="Calibri" w:cs="Calibri" w:eastAsia="Calibri" w:hAnsi="Calibri"/>
          <w:sz w:val="22"/>
          <w:szCs w:val="22"/>
        </w:rPr>
        <w:t xml:space="preserve"> The user writes or speaks a diary entry (voice is converted to text using Whisper). The text is cleaned, tokenised and converted to word embeddings. A BiLSTM with attention extracts symptoms (pain, stiffness, mobility, grip/activity) and predicts a severity level for each, and highlights the phrases that caused the score.</w:t>
      </w:r>
    </w:p>
    <w:p>
      <w:pPr>
        <w:pStyle w:val="ListParagraph"/>
        <w:numPr>
          <w:ilvl w:val="0"/>
          <w:numId w:val="3"/>
        </w:numPr>
        <w:spacing w:after="70"/>
      </w:pPr>
      <w:r>
        <w:rPr>
          <w:rFonts w:ascii="Calibri" w:cs="Calibri" w:eastAsia="Calibri" w:hAnsi="Calibri"/>
          <w:b/>
          <w:bCs/>
          <w:sz w:val="22"/>
          <w:szCs w:val="22"/>
        </w:rPr>
        <w:t xml:space="preserve">Step 3 - Exercise Form Checking:</w:t>
      </w:r>
      <w:r>
        <w:rPr>
          <w:rFonts w:ascii="Calibri" w:cs="Calibri" w:eastAsia="Calibri" w:hAnsi="Calibri"/>
          <w:sz w:val="22"/>
          <w:szCs w:val="22"/>
        </w:rPr>
        <w:t xml:space="preserve"> The webcam records the exercise. MediaPipe Hands extracts landmarks per frame, from which joint angles, range of motion, repetitions and a form score are calculated.</w:t>
      </w:r>
    </w:p>
    <w:p>
      <w:pPr>
        <w:pStyle w:val="ListParagraph"/>
        <w:numPr>
          <w:ilvl w:val="0"/>
          <w:numId w:val="3"/>
        </w:numPr>
        <w:spacing w:after="70"/>
      </w:pPr>
      <w:r>
        <w:rPr>
          <w:rFonts w:ascii="Calibri" w:cs="Calibri" w:eastAsia="Calibri" w:hAnsi="Calibri"/>
          <w:b/>
          <w:bCs/>
          <w:sz w:val="22"/>
          <w:szCs w:val="22"/>
        </w:rPr>
        <w:t xml:space="preserve">Step 4 - Sign Practice:</w:t>
      </w:r>
      <w:r>
        <w:rPr>
          <w:rFonts w:ascii="Calibri" w:cs="Calibri" w:eastAsia="Calibri" w:hAnsi="Calibri"/>
          <w:sz w:val="22"/>
          <w:szCs w:val="22"/>
        </w:rPr>
        <w:t xml:space="preserve"> The user imitates signs from the Sign DB. A landmark-based GRU model recognises the sign. Accuracy and completion time give a dexterity score.</w:t>
      </w:r>
    </w:p>
    <w:p>
      <w:pPr>
        <w:pStyle w:val="ListParagraph"/>
        <w:numPr>
          <w:ilvl w:val="0"/>
          <w:numId w:val="3"/>
        </w:numPr>
        <w:spacing w:after="70"/>
      </w:pPr>
      <w:r>
        <w:rPr>
          <w:rFonts w:ascii="Calibri" w:cs="Calibri" w:eastAsia="Calibri" w:hAnsi="Calibri"/>
          <w:b/>
          <w:bCs/>
          <w:sz w:val="22"/>
          <w:szCs w:val="22"/>
        </w:rPr>
        <w:t xml:space="preserve">Step 5 - Feature Fusion:</w:t>
      </w:r>
      <w:r>
        <w:rPr>
          <w:rFonts w:ascii="Calibri" w:cs="Calibri" w:eastAsia="Calibri" w:hAnsi="Calibri"/>
          <w:sz w:val="22"/>
          <w:szCs w:val="22"/>
        </w:rPr>
        <w:t xml:space="preserve"> Text severity, range of motion and dexterity score are combined into one daily feature vector, which is stored with the date.</w:t>
      </w:r>
    </w:p>
    <w:p>
      <w:pPr>
        <w:pStyle w:val="ListParagraph"/>
        <w:numPr>
          <w:ilvl w:val="0"/>
          <w:numId w:val="3"/>
        </w:numPr>
        <w:spacing w:after="70"/>
      </w:pPr>
      <w:r>
        <w:rPr>
          <w:rFonts w:ascii="Calibri" w:cs="Calibri" w:eastAsia="Calibri" w:hAnsi="Calibri"/>
          <w:b/>
          <w:bCs/>
          <w:sz w:val="22"/>
          <w:szCs w:val="22"/>
        </w:rPr>
        <w:t xml:space="preserve">Step 6 - Temporal Analysis:</w:t>
      </w:r>
      <w:r>
        <w:rPr>
          <w:rFonts w:ascii="Calibri" w:cs="Calibri" w:eastAsia="Calibri" w:hAnsi="Calibri"/>
          <w:sz w:val="22"/>
          <w:szCs w:val="22"/>
        </w:rPr>
        <w:t xml:space="preserve"> The recent daily vectors form a time sequence. An LSTM/GRU forecasts the recovery trend and detects plateau or relapse patterns, and an alert is raised when needed.</w:t>
      </w:r>
    </w:p>
    <w:p>
      <w:pPr>
        <w:pStyle w:val="ListParagraph"/>
        <w:numPr>
          <w:ilvl w:val="0"/>
          <w:numId w:val="3"/>
        </w:numPr>
        <w:spacing w:after="70"/>
      </w:pPr>
      <w:r>
        <w:rPr>
          <w:rFonts w:ascii="Calibri" w:cs="Calibri" w:eastAsia="Calibri" w:hAnsi="Calibri"/>
          <w:b/>
          <w:bCs/>
          <w:sz w:val="22"/>
          <w:szCs w:val="22"/>
        </w:rPr>
        <w:t xml:space="preserve">Step 7 - Recommendation:</w:t>
      </w:r>
      <w:r>
        <w:rPr>
          <w:rFonts w:ascii="Calibri" w:cs="Calibri" w:eastAsia="Calibri" w:hAnsi="Calibri"/>
          <w:sz w:val="22"/>
          <w:szCs w:val="22"/>
        </w:rPr>
        <w:t xml:space="preserve"> Sentence embeddings match the user's symptoms to suitable exercises in the Exercise DB and to sign videos in the Sign DB.</w:t>
      </w:r>
    </w:p>
    <w:p>
      <w:pPr>
        <w:pStyle w:val="ListParagraph"/>
        <w:numPr>
          <w:ilvl w:val="0"/>
          <w:numId w:val="3"/>
        </w:numPr>
        <w:spacing w:after="70"/>
      </w:pPr>
      <w:r>
        <w:rPr>
          <w:rFonts w:ascii="Calibri" w:cs="Calibri" w:eastAsia="Calibri" w:hAnsi="Calibri"/>
          <w:b/>
          <w:bCs/>
          <w:sz w:val="22"/>
          <w:szCs w:val="22"/>
        </w:rPr>
        <w:t xml:space="preserve">Step 8 - Dashboard:</w:t>
      </w:r>
      <w:r>
        <w:rPr>
          <w:rFonts w:ascii="Calibri" w:cs="Calibri" w:eastAsia="Calibri" w:hAnsi="Calibri"/>
          <w:sz w:val="22"/>
          <w:szCs w:val="22"/>
        </w:rPr>
        <w:t xml:space="preserve"> The dashboard shows symptom scores, recovery graph, progress comparison, recommended exercises, sign resources and alerts.</w:t>
      </w:r>
    </w:p>
    <w:p>
      <w:pPr>
        <w:pStyle w:val="Heading1"/>
        <w:spacing w:after="120" w:before="300"/>
      </w:pPr>
      <w:r>
        <w:rPr>
          <w:rFonts w:ascii="Calibri" w:cs="Calibri" w:eastAsia="Calibri" w:hAnsi="Calibri"/>
          <w:b/>
          <w:bCs/>
          <w:color w:val="1F3B57"/>
          <w:sz w:val="28"/>
          <w:szCs w:val="28"/>
        </w:rPr>
        <w:t xml:space="preserve">5. Datasets That Can Be Used</w:t>
      </w:r>
    </w:p>
    <w:p>
      <w:pPr>
        <w:spacing w:after="100"/>
      </w:pPr>
      <w:r>
        <w:rPr>
          <w:rFonts w:ascii="Calibri" w:cs="Calibri" w:eastAsia="Calibri" w:hAnsi="Calibri"/>
          <w:i/>
          <w:iCs/>
          <w:sz w:val="22"/>
          <w:szCs w:val="22"/>
        </w:rPr>
        <w:t xml:space="preserve">No public dataset of hand-rehab diaries exists, so the diary dataset must be created by the team (see note below the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700"/>
        <w:gridCol w:w="2200"/>
        <w:gridCol w:w="2460"/>
      </w:tblGrid>
      <w:tr>
        <w:trPr>
          <w:tblHeader/>
        </w:trPr>
        <w:tc>
          <w:tcPr>
            <w:tcW w:type="dxa" w:w="2000"/>
            <w:tcBorders>
              <w:top w:val="single" w:color="B0BEC5" w:sz="4"/>
              <w:left w:val="single" w:color="B0BEC5" w:sz="4"/>
              <w:bottom w:val="single" w:color="B0BEC5" w:sz="4"/>
              <w:right w:val="single" w:color="B0BEC5" w:sz="4"/>
            </w:tcBorders>
            <w:shd w:fill="1F3B57" w:color="auto" w:val="clear"/>
            <w:tcMar>
              <w:top w:type="dxa" w:w="70"/>
              <w:left w:type="dxa" w:w="100"/>
              <w:bottom w:type="dxa" w:w="70"/>
              <w:right w:type="dxa" w:w="100"/>
            </w:tcMar>
          </w:tcPr>
          <w:p>
            <w:r>
              <w:rPr>
                <w:rFonts w:ascii="Calibri" w:cs="Calibri" w:eastAsia="Calibri" w:hAnsi="Calibri"/>
                <w:b/>
                <w:bCs/>
                <w:color w:val="FFFFFF"/>
                <w:sz w:val="20"/>
                <w:szCs w:val="20"/>
              </w:rPr>
              <w:t xml:space="preserve">Module</w:t>
            </w:r>
          </w:p>
        </w:tc>
        <w:tc>
          <w:tcPr>
            <w:tcW w:type="dxa" w:w="2700"/>
            <w:tcBorders>
              <w:top w:val="single" w:color="B0BEC5" w:sz="4"/>
              <w:left w:val="single" w:color="B0BEC5" w:sz="4"/>
              <w:bottom w:val="single" w:color="B0BEC5" w:sz="4"/>
              <w:right w:val="single" w:color="B0BEC5" w:sz="4"/>
            </w:tcBorders>
            <w:shd w:fill="1F3B57" w:color="auto" w:val="clear"/>
            <w:tcMar>
              <w:top w:type="dxa" w:w="70"/>
              <w:left w:type="dxa" w:w="100"/>
              <w:bottom w:type="dxa" w:w="70"/>
              <w:right w:type="dxa" w:w="100"/>
            </w:tcMar>
          </w:tcPr>
          <w:p>
            <w:r>
              <w:rPr>
                <w:rFonts w:ascii="Calibri" w:cs="Calibri" w:eastAsia="Calibri" w:hAnsi="Calibri"/>
                <w:b/>
                <w:bCs/>
                <w:color w:val="FFFFFF"/>
                <w:sz w:val="20"/>
                <w:szCs w:val="20"/>
              </w:rPr>
              <w:t xml:space="preserve">Dataset / Source</w:t>
            </w:r>
          </w:p>
        </w:tc>
        <w:tc>
          <w:tcPr>
            <w:tcW w:type="dxa" w:w="2200"/>
            <w:tcBorders>
              <w:top w:val="single" w:color="B0BEC5" w:sz="4"/>
              <w:left w:val="single" w:color="B0BEC5" w:sz="4"/>
              <w:bottom w:val="single" w:color="B0BEC5" w:sz="4"/>
              <w:right w:val="single" w:color="B0BEC5" w:sz="4"/>
            </w:tcBorders>
            <w:shd w:fill="1F3B57" w:color="auto" w:val="clear"/>
            <w:tcMar>
              <w:top w:type="dxa" w:w="70"/>
              <w:left w:type="dxa" w:w="100"/>
              <w:bottom w:type="dxa" w:w="70"/>
              <w:right w:type="dxa" w:w="100"/>
            </w:tcMar>
          </w:tcPr>
          <w:p>
            <w:r>
              <w:rPr>
                <w:rFonts w:ascii="Calibri" w:cs="Calibri" w:eastAsia="Calibri" w:hAnsi="Calibri"/>
                <w:b/>
                <w:bCs/>
                <w:color w:val="FFFFFF"/>
                <w:sz w:val="20"/>
                <w:szCs w:val="20"/>
              </w:rPr>
              <w:t xml:space="preserve">What it provides</w:t>
            </w:r>
          </w:p>
        </w:tc>
        <w:tc>
          <w:tcPr>
            <w:tcW w:type="dxa" w:w="2460"/>
            <w:tcBorders>
              <w:top w:val="single" w:color="B0BEC5" w:sz="4"/>
              <w:left w:val="single" w:color="B0BEC5" w:sz="4"/>
              <w:bottom w:val="single" w:color="B0BEC5" w:sz="4"/>
              <w:right w:val="single" w:color="B0BEC5" w:sz="4"/>
            </w:tcBorders>
            <w:shd w:fill="1F3B57" w:color="auto" w:val="clear"/>
            <w:tcMar>
              <w:top w:type="dxa" w:w="70"/>
              <w:left w:type="dxa" w:w="100"/>
              <w:bottom w:type="dxa" w:w="70"/>
              <w:right w:type="dxa" w:w="100"/>
            </w:tcMar>
          </w:tcPr>
          <w:p>
            <w:r>
              <w:rPr>
                <w:rFonts w:ascii="Calibri" w:cs="Calibri" w:eastAsia="Calibri" w:hAnsi="Calibri"/>
                <w:b/>
                <w:bCs/>
                <w:color w:val="FFFFFF"/>
                <w:sz w:val="20"/>
                <w:szCs w:val="20"/>
              </w:rPr>
              <w:t xml:space="preserve">Note</w:t>
            </w:r>
          </w:p>
        </w:tc>
      </w:tr>
      <w:tr>
        <w:trPr>
          <w:tblHeader w:val="false"/>
        </w:trPr>
        <w:tc>
          <w:tcPr>
            <w:tcW w:type="dxa" w:w="2000"/>
            <w:tcBorders>
              <w:top w:val="single" w:color="B0BEC5" w:sz="4"/>
              <w:left w:val="single" w:color="B0BEC5" w:sz="4"/>
              <w:bottom w:val="single" w:color="B0BEC5" w:sz="4"/>
              <w:right w:val="single" w:color="B0BEC5" w:sz="4"/>
            </w:tcBorders>
            <w:tcMar>
              <w:top w:type="dxa" w:w="70"/>
              <w:left w:type="dxa" w:w="100"/>
              <w:bottom w:type="dxa" w:w="70"/>
              <w:right w:type="dxa" w:w="100"/>
            </w:tcMar>
          </w:tcPr>
          <w:p>
            <w:r>
              <w:rPr>
                <w:rFonts w:ascii="Calibri" w:cs="Calibri" w:eastAsia="Calibri" w:hAnsi="Calibri"/>
                <w:b/>
                <w:bCs/>
                <w:color w:val="000000"/>
                <w:sz w:val="20"/>
                <w:szCs w:val="20"/>
              </w:rPr>
              <w:t xml:space="preserve">Diary NLP</w:t>
            </w:r>
          </w:p>
        </w:tc>
        <w:tc>
          <w:tcPr>
            <w:tcW w:type="dxa" w:w="2700"/>
            <w:tcBorders>
              <w:top w:val="single" w:color="B0BEC5" w:sz="4"/>
              <w:left w:val="single" w:color="B0BEC5" w:sz="4"/>
              <w:bottom w:val="single" w:color="B0BEC5" w:sz="4"/>
              <w:right w:val="single" w:color="B0BEC5"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Self-built diary dataset (synthetic entries generated with an LLM, then reviewed and labelled by the team)</w:t>
            </w:r>
          </w:p>
        </w:tc>
        <w:tc>
          <w:tcPr>
            <w:tcW w:type="dxa" w:w="2200"/>
            <w:tcBorders>
              <w:top w:val="single" w:color="B0BEC5" w:sz="4"/>
              <w:left w:val="single" w:color="B0BEC5" w:sz="4"/>
              <w:bottom w:val="single" w:color="B0BEC5" w:sz="4"/>
              <w:right w:val="single" w:color="B0BEC5"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Entries labelled with pain, stiffness, mobility, grip and severity (0-3)</w:t>
            </w:r>
          </w:p>
        </w:tc>
        <w:tc>
          <w:tcPr>
            <w:tcW w:type="dxa" w:w="2460"/>
            <w:tcBorders>
              <w:top w:val="single" w:color="B0BEC5" w:sz="4"/>
              <w:left w:val="single" w:color="B0BEC5" w:sz="4"/>
              <w:bottom w:val="single" w:color="B0BEC5" w:sz="4"/>
              <w:right w:val="single" w:color="B0BEC5"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Aim for 1,500-3,000 entries; have a physiotherapist check a sample</w:t>
            </w:r>
          </w:p>
        </w:tc>
      </w:tr>
      <w:tr>
        <w:trPr>
          <w:tblHeader w:val="false"/>
        </w:trPr>
        <w:tc>
          <w:tcPr>
            <w:tcW w:type="dxa" w:w="2000"/>
            <w:tcBorders>
              <w:top w:val="single" w:color="B0BEC5" w:sz="4"/>
              <w:left w:val="single" w:color="B0BEC5" w:sz="4"/>
              <w:bottom w:val="single" w:color="B0BEC5" w:sz="4"/>
              <w:right w:val="single" w:color="B0BEC5" w:sz="4"/>
            </w:tcBorders>
            <w:tcMar>
              <w:top w:type="dxa" w:w="70"/>
              <w:left w:type="dxa" w:w="100"/>
              <w:bottom w:type="dxa" w:w="70"/>
              <w:right w:type="dxa" w:w="100"/>
            </w:tcMar>
          </w:tcPr>
          <w:p>
            <w:r>
              <w:rPr>
                <w:rFonts w:ascii="Calibri" w:cs="Calibri" w:eastAsia="Calibri" w:hAnsi="Calibri"/>
                <w:b/>
                <w:bCs/>
                <w:color w:val="000000"/>
                <w:sz w:val="20"/>
                <w:szCs w:val="20"/>
              </w:rPr>
              <w:t xml:space="preserve">Text embeddings</w:t>
            </w:r>
          </w:p>
        </w:tc>
        <w:tc>
          <w:tcPr>
            <w:tcW w:type="dxa" w:w="2700"/>
            <w:tcBorders>
              <w:top w:val="single" w:color="B0BEC5" w:sz="4"/>
              <w:left w:val="single" w:color="B0BEC5" w:sz="4"/>
              <w:bottom w:val="single" w:color="B0BEC5" w:sz="4"/>
              <w:right w:val="single" w:color="B0BEC5"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GloVe / FastText, or BioBERT / ClinicalBERT embeddings</w:t>
            </w:r>
          </w:p>
        </w:tc>
        <w:tc>
          <w:tcPr>
            <w:tcW w:type="dxa" w:w="2200"/>
            <w:tcBorders>
              <w:top w:val="single" w:color="B0BEC5" w:sz="4"/>
              <w:left w:val="single" w:color="B0BEC5" w:sz="4"/>
              <w:bottom w:val="single" w:color="B0BEC5" w:sz="4"/>
              <w:right w:val="single" w:color="B0BEC5"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Pretrained word vectors for medical-style text</w:t>
            </w:r>
          </w:p>
        </w:tc>
        <w:tc>
          <w:tcPr>
            <w:tcW w:type="dxa" w:w="2460"/>
            <w:tcBorders>
              <w:top w:val="single" w:color="B0BEC5" w:sz="4"/>
              <w:left w:val="single" w:color="B0BEC5" w:sz="4"/>
              <w:bottom w:val="single" w:color="B0BEC5" w:sz="4"/>
              <w:right w:val="single" w:color="B0BEC5"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Use as input to the BiLSTM</w:t>
            </w:r>
          </w:p>
        </w:tc>
      </w:tr>
      <w:tr>
        <w:trPr>
          <w:tblHeader w:val="false"/>
        </w:trPr>
        <w:tc>
          <w:tcPr>
            <w:tcW w:type="dxa" w:w="2000"/>
            <w:tcBorders>
              <w:top w:val="single" w:color="B0BEC5" w:sz="4"/>
              <w:left w:val="single" w:color="B0BEC5" w:sz="4"/>
              <w:bottom w:val="single" w:color="B0BEC5" w:sz="4"/>
              <w:right w:val="single" w:color="B0BEC5" w:sz="4"/>
            </w:tcBorders>
            <w:tcMar>
              <w:top w:type="dxa" w:w="70"/>
              <w:left w:type="dxa" w:w="100"/>
              <w:bottom w:type="dxa" w:w="70"/>
              <w:right w:type="dxa" w:w="100"/>
            </w:tcMar>
          </w:tcPr>
          <w:p>
            <w:r>
              <w:rPr>
                <w:rFonts w:ascii="Calibri" w:cs="Calibri" w:eastAsia="Calibri" w:hAnsi="Calibri"/>
                <w:b/>
                <w:bCs/>
                <w:color w:val="000000"/>
                <w:sz w:val="20"/>
                <w:szCs w:val="20"/>
              </w:rPr>
              <w:t xml:space="preserve">Clinical NLP (optional)</w:t>
            </w:r>
          </w:p>
        </w:tc>
        <w:tc>
          <w:tcPr>
            <w:tcW w:type="dxa" w:w="2700"/>
            <w:tcBorders>
              <w:top w:val="single" w:color="B0BEC5" w:sz="4"/>
              <w:left w:val="single" w:color="B0BEC5" w:sz="4"/>
              <w:bottom w:val="single" w:color="B0BEC5" w:sz="4"/>
              <w:right w:val="single" w:color="B0BEC5"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MIMIC-III clinical notes</w:t>
            </w:r>
          </w:p>
        </w:tc>
        <w:tc>
          <w:tcPr>
            <w:tcW w:type="dxa" w:w="2200"/>
            <w:tcBorders>
              <w:top w:val="single" w:color="B0BEC5" w:sz="4"/>
              <w:left w:val="single" w:color="B0BEC5" w:sz="4"/>
              <w:bottom w:val="single" w:color="B0BEC5" w:sz="4"/>
              <w:right w:val="single" w:color="B0BEC5"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Pretraining or NER practice on clinical language</w:t>
            </w:r>
          </w:p>
        </w:tc>
        <w:tc>
          <w:tcPr>
            <w:tcW w:type="dxa" w:w="2460"/>
            <w:tcBorders>
              <w:top w:val="single" w:color="B0BEC5" w:sz="4"/>
              <w:left w:val="single" w:color="B0BEC5" w:sz="4"/>
              <w:bottom w:val="single" w:color="B0BEC5" w:sz="4"/>
              <w:right w:val="single" w:color="B0BEC5"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Needs credentialed access</w:t>
            </w:r>
          </w:p>
        </w:tc>
      </w:tr>
      <w:tr>
        <w:trPr>
          <w:tblHeader w:val="false"/>
        </w:trPr>
        <w:tc>
          <w:tcPr>
            <w:tcW w:type="dxa" w:w="2000"/>
            <w:tcBorders>
              <w:top w:val="single" w:color="B0BEC5" w:sz="4"/>
              <w:left w:val="single" w:color="B0BEC5" w:sz="4"/>
              <w:bottom w:val="single" w:color="B0BEC5" w:sz="4"/>
              <w:right w:val="single" w:color="B0BEC5" w:sz="4"/>
            </w:tcBorders>
            <w:tcMar>
              <w:top w:type="dxa" w:w="70"/>
              <w:left w:type="dxa" w:w="100"/>
              <w:bottom w:type="dxa" w:w="70"/>
              <w:right w:type="dxa" w:w="100"/>
            </w:tcMar>
          </w:tcPr>
          <w:p>
            <w:r>
              <w:rPr>
                <w:rFonts w:ascii="Calibri" w:cs="Calibri" w:eastAsia="Calibri" w:hAnsi="Calibri"/>
                <w:b/>
                <w:bCs/>
                <w:color w:val="000000"/>
                <w:sz w:val="20"/>
                <w:szCs w:val="20"/>
              </w:rPr>
              <w:t xml:space="preserve">Hand tracking</w:t>
            </w:r>
          </w:p>
        </w:tc>
        <w:tc>
          <w:tcPr>
            <w:tcW w:type="dxa" w:w="2700"/>
            <w:tcBorders>
              <w:top w:val="single" w:color="B0BEC5" w:sz="4"/>
              <w:left w:val="single" w:color="B0BEC5" w:sz="4"/>
              <w:bottom w:val="single" w:color="B0BEC5" w:sz="4"/>
              <w:right w:val="single" w:color="B0BEC5"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MediaPipe Hands (pretrained), FreiHAND, HaGRID</w:t>
            </w:r>
          </w:p>
        </w:tc>
        <w:tc>
          <w:tcPr>
            <w:tcW w:type="dxa" w:w="2200"/>
            <w:tcBorders>
              <w:top w:val="single" w:color="B0BEC5" w:sz="4"/>
              <w:left w:val="single" w:color="B0BEC5" w:sz="4"/>
              <w:bottom w:val="single" w:color="B0BEC5" w:sz="4"/>
              <w:right w:val="single" w:color="B0BEC5"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Hand landmarks and hand images for validation</w:t>
            </w:r>
          </w:p>
        </w:tc>
        <w:tc>
          <w:tcPr>
            <w:tcW w:type="dxa" w:w="2460"/>
            <w:tcBorders>
              <w:top w:val="single" w:color="B0BEC5" w:sz="4"/>
              <w:left w:val="single" w:color="B0BEC5" w:sz="4"/>
              <w:bottom w:val="single" w:color="B0BEC5" w:sz="4"/>
              <w:right w:val="single" w:color="B0BEC5"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MediaPipe needs no training</w:t>
            </w:r>
          </w:p>
        </w:tc>
      </w:tr>
      <w:tr>
        <w:trPr>
          <w:tblHeader w:val="false"/>
        </w:trPr>
        <w:tc>
          <w:tcPr>
            <w:tcW w:type="dxa" w:w="2000"/>
            <w:tcBorders>
              <w:top w:val="single" w:color="B0BEC5" w:sz="4"/>
              <w:left w:val="single" w:color="B0BEC5" w:sz="4"/>
              <w:bottom w:val="single" w:color="B0BEC5" w:sz="4"/>
              <w:right w:val="single" w:color="B0BEC5" w:sz="4"/>
            </w:tcBorders>
            <w:tcMar>
              <w:top w:type="dxa" w:w="70"/>
              <w:left w:type="dxa" w:w="100"/>
              <w:bottom w:type="dxa" w:w="70"/>
              <w:right w:type="dxa" w:w="100"/>
            </w:tcMar>
          </w:tcPr>
          <w:p>
            <w:r>
              <w:rPr>
                <w:rFonts w:ascii="Calibri" w:cs="Calibri" w:eastAsia="Calibri" w:hAnsi="Calibri"/>
                <w:b/>
                <w:bCs/>
                <w:color w:val="000000"/>
                <w:sz w:val="20"/>
                <w:szCs w:val="20"/>
              </w:rPr>
              <w:t xml:space="preserve">Rehab movement scoring</w:t>
            </w:r>
          </w:p>
        </w:tc>
        <w:tc>
          <w:tcPr>
            <w:tcW w:type="dxa" w:w="2700"/>
            <w:tcBorders>
              <w:top w:val="single" w:color="B0BEC5" w:sz="4"/>
              <w:left w:val="single" w:color="B0BEC5" w:sz="4"/>
              <w:bottom w:val="single" w:color="B0BEC5" w:sz="4"/>
              <w:right w:val="single" w:color="B0BEC5"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KIMORE, UI-PRMD</w:t>
            </w:r>
          </w:p>
        </w:tc>
        <w:tc>
          <w:tcPr>
            <w:tcW w:type="dxa" w:w="2200"/>
            <w:tcBorders>
              <w:top w:val="single" w:color="B0BEC5" w:sz="4"/>
              <w:left w:val="single" w:color="B0BEC5" w:sz="4"/>
              <w:bottom w:val="single" w:color="B0BEC5" w:sz="4"/>
              <w:right w:val="single" w:color="B0BEC5"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Movement-quality scoring methods</w:t>
            </w:r>
          </w:p>
        </w:tc>
        <w:tc>
          <w:tcPr>
            <w:tcW w:type="dxa" w:w="2460"/>
            <w:tcBorders>
              <w:top w:val="single" w:color="B0BEC5" w:sz="4"/>
              <w:left w:val="single" w:color="B0BEC5" w:sz="4"/>
              <w:bottom w:val="single" w:color="B0BEC5" w:sz="4"/>
              <w:right w:val="single" w:color="B0BEC5"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Whole-body rehab, not hand-specific; use for methodology</w:t>
            </w:r>
          </w:p>
        </w:tc>
      </w:tr>
      <w:tr>
        <w:trPr>
          <w:tblHeader w:val="false"/>
        </w:trPr>
        <w:tc>
          <w:tcPr>
            <w:tcW w:type="dxa" w:w="2000"/>
            <w:tcBorders>
              <w:top w:val="single" w:color="B0BEC5" w:sz="4"/>
              <w:left w:val="single" w:color="B0BEC5" w:sz="4"/>
              <w:bottom w:val="single" w:color="B0BEC5" w:sz="4"/>
              <w:right w:val="single" w:color="B0BEC5" w:sz="4"/>
            </w:tcBorders>
            <w:tcMar>
              <w:top w:type="dxa" w:w="70"/>
              <w:left w:type="dxa" w:w="100"/>
              <w:bottom w:type="dxa" w:w="70"/>
              <w:right w:type="dxa" w:w="100"/>
            </w:tcMar>
          </w:tcPr>
          <w:p>
            <w:r>
              <w:rPr>
                <w:rFonts w:ascii="Calibri" w:cs="Calibri" w:eastAsia="Calibri" w:hAnsi="Calibri"/>
                <w:b/>
                <w:bCs/>
                <w:color w:val="000000"/>
                <w:sz w:val="20"/>
                <w:szCs w:val="20"/>
              </w:rPr>
              <w:t xml:space="preserve">Sign recognition</w:t>
            </w:r>
          </w:p>
        </w:tc>
        <w:tc>
          <w:tcPr>
            <w:tcW w:type="dxa" w:w="2700"/>
            <w:tcBorders>
              <w:top w:val="single" w:color="B0BEC5" w:sz="4"/>
              <w:left w:val="single" w:color="B0BEC5" w:sz="4"/>
              <w:bottom w:val="single" w:color="B0BEC5" w:sz="4"/>
              <w:right w:val="single" w:color="B0BEC5"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WLASL, MS-ASL (American); INCLUDE by AI4Bharat (Indian)</w:t>
            </w:r>
          </w:p>
        </w:tc>
        <w:tc>
          <w:tcPr>
            <w:tcW w:type="dxa" w:w="2200"/>
            <w:tcBorders>
              <w:top w:val="single" w:color="B0BEC5" w:sz="4"/>
              <w:left w:val="single" w:color="B0BEC5" w:sz="4"/>
              <w:bottom w:val="single" w:color="B0BEC5" w:sz="4"/>
              <w:right w:val="single" w:color="B0BEC5"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Labelled sign videos</w:t>
            </w:r>
          </w:p>
        </w:tc>
        <w:tc>
          <w:tcPr>
            <w:tcW w:type="dxa" w:w="2460"/>
            <w:tcBorders>
              <w:top w:val="single" w:color="B0BEC5" w:sz="4"/>
              <w:left w:val="single" w:color="B0BEC5" w:sz="4"/>
              <w:bottom w:val="single" w:color="B0BEC5" w:sz="4"/>
              <w:right w:val="single" w:color="B0BEC5"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INCLUDE suits Indian users; extract landmarks with MediaPipe</w:t>
            </w:r>
          </w:p>
        </w:tc>
      </w:tr>
      <w:tr>
        <w:trPr>
          <w:tblHeader w:val="false"/>
        </w:trPr>
        <w:tc>
          <w:tcPr>
            <w:tcW w:type="dxa" w:w="2000"/>
            <w:tcBorders>
              <w:top w:val="single" w:color="B0BEC5" w:sz="4"/>
              <w:left w:val="single" w:color="B0BEC5" w:sz="4"/>
              <w:bottom w:val="single" w:color="B0BEC5" w:sz="4"/>
              <w:right w:val="single" w:color="B0BEC5" w:sz="4"/>
            </w:tcBorders>
            <w:tcMar>
              <w:top w:type="dxa" w:w="70"/>
              <w:left w:type="dxa" w:w="100"/>
              <w:bottom w:type="dxa" w:w="70"/>
              <w:right w:type="dxa" w:w="100"/>
            </w:tcMar>
          </w:tcPr>
          <w:p>
            <w:r>
              <w:rPr>
                <w:rFonts w:ascii="Calibri" w:cs="Calibri" w:eastAsia="Calibri" w:hAnsi="Calibri"/>
                <w:b/>
                <w:bCs/>
                <w:color w:val="000000"/>
                <w:sz w:val="20"/>
                <w:szCs w:val="20"/>
              </w:rPr>
              <w:t xml:space="preserve">Voice diary (optional)</w:t>
            </w:r>
          </w:p>
        </w:tc>
        <w:tc>
          <w:tcPr>
            <w:tcW w:type="dxa" w:w="2700"/>
            <w:tcBorders>
              <w:top w:val="single" w:color="B0BEC5" w:sz="4"/>
              <w:left w:val="single" w:color="B0BEC5" w:sz="4"/>
              <w:bottom w:val="single" w:color="B0BEC5" w:sz="4"/>
              <w:right w:val="single" w:color="B0BEC5"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Whisper (pretrained), Mozilla Common Voice (Tamil / English)</w:t>
            </w:r>
          </w:p>
        </w:tc>
        <w:tc>
          <w:tcPr>
            <w:tcW w:type="dxa" w:w="2200"/>
            <w:tcBorders>
              <w:top w:val="single" w:color="B0BEC5" w:sz="4"/>
              <w:left w:val="single" w:color="B0BEC5" w:sz="4"/>
              <w:bottom w:val="single" w:color="B0BEC5" w:sz="4"/>
              <w:right w:val="single" w:color="B0BEC5"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Speech-to-text</w:t>
            </w:r>
          </w:p>
        </w:tc>
        <w:tc>
          <w:tcPr>
            <w:tcW w:type="dxa" w:w="2460"/>
            <w:tcBorders>
              <w:top w:val="single" w:color="B0BEC5" w:sz="4"/>
              <w:left w:val="single" w:color="B0BEC5" w:sz="4"/>
              <w:bottom w:val="single" w:color="B0BEC5" w:sz="4"/>
              <w:right w:val="single" w:color="B0BEC5"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Fine-tune only if needed</w:t>
            </w:r>
          </w:p>
        </w:tc>
      </w:tr>
      <w:tr>
        <w:trPr>
          <w:tblHeader w:val="false"/>
        </w:trPr>
        <w:tc>
          <w:tcPr>
            <w:tcW w:type="dxa" w:w="2000"/>
            <w:tcBorders>
              <w:top w:val="single" w:color="B0BEC5" w:sz="4"/>
              <w:left w:val="single" w:color="B0BEC5" w:sz="4"/>
              <w:bottom w:val="single" w:color="B0BEC5" w:sz="4"/>
              <w:right w:val="single" w:color="B0BEC5" w:sz="4"/>
            </w:tcBorders>
            <w:tcMar>
              <w:top w:type="dxa" w:w="70"/>
              <w:left w:type="dxa" w:w="100"/>
              <w:bottom w:type="dxa" w:w="70"/>
              <w:right w:type="dxa" w:w="100"/>
            </w:tcMar>
          </w:tcPr>
          <w:p>
            <w:r>
              <w:rPr>
                <w:rFonts w:ascii="Calibri" w:cs="Calibri" w:eastAsia="Calibri" w:hAnsi="Calibri"/>
                <w:b/>
                <w:bCs/>
                <w:color w:val="000000"/>
                <w:sz w:val="20"/>
                <w:szCs w:val="20"/>
              </w:rPr>
              <w:t xml:space="preserve">Recovery trend</w:t>
            </w:r>
          </w:p>
        </w:tc>
        <w:tc>
          <w:tcPr>
            <w:tcW w:type="dxa" w:w="2700"/>
            <w:tcBorders>
              <w:top w:val="single" w:color="B0BEC5" w:sz="4"/>
              <w:left w:val="single" w:color="B0BEC5" w:sz="4"/>
              <w:bottom w:val="single" w:color="B0BEC5" w:sz="4"/>
              <w:right w:val="single" w:color="B0BEC5"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Simulated recovery curves (generated from diary scores and ROM with noise, plateaus and relapses)</w:t>
            </w:r>
          </w:p>
        </w:tc>
        <w:tc>
          <w:tcPr>
            <w:tcW w:type="dxa" w:w="2200"/>
            <w:tcBorders>
              <w:top w:val="single" w:color="B0BEC5" w:sz="4"/>
              <w:left w:val="single" w:color="B0BEC5" w:sz="4"/>
              <w:bottom w:val="single" w:color="B0BEC5" w:sz="4"/>
              <w:right w:val="single" w:color="B0BEC5"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Daily score sequences with plateau / relapse labels</w:t>
            </w:r>
          </w:p>
        </w:tc>
        <w:tc>
          <w:tcPr>
            <w:tcW w:type="dxa" w:w="2460"/>
            <w:tcBorders>
              <w:top w:val="single" w:color="B0BEC5" w:sz="4"/>
              <w:left w:val="single" w:color="B0BEC5" w:sz="4"/>
              <w:bottom w:val="single" w:color="B0BEC5" w:sz="4"/>
              <w:right w:val="single" w:color="B0BEC5"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Validate on a small pilot; state clearly in the report that it is simulated</w:t>
            </w:r>
          </w:p>
        </w:tc>
      </w:tr>
    </w:tbl>
    <w:p>
      <w:pPr>
        <w:pStyle w:val="Heading1"/>
        <w:spacing w:after="120" w:before="300"/>
      </w:pPr>
      <w:r>
        <w:rPr>
          <w:rFonts w:ascii="Calibri" w:cs="Calibri" w:eastAsia="Calibri" w:hAnsi="Calibri"/>
          <w:b/>
          <w:bCs/>
          <w:color w:val="1F3B57"/>
          <w:sz w:val="28"/>
          <w:szCs w:val="28"/>
        </w:rPr>
        <w:t xml:space="preserve">6. Deep Learning and NLP Ideas</w:t>
      </w:r>
    </w:p>
    <w:p>
      <w:pPr>
        <w:pStyle w:val="Heading2"/>
        <w:spacing w:after="80" w:before="200"/>
      </w:pPr>
      <w:r>
        <w:rPr>
          <w:rFonts w:ascii="Calibri" w:cs="Calibri" w:eastAsia="Calibri" w:hAnsi="Calibri"/>
          <w:b/>
          <w:bCs/>
          <w:color w:val="2E5E8C"/>
          <w:sz w:val="24"/>
          <w:szCs w:val="24"/>
        </w:rPr>
        <w:t xml:space="preserve">6.1 NLP Pipeline</w:t>
      </w:r>
    </w:p>
    <w:p>
      <w:pPr>
        <w:pStyle w:val="ListParagraph"/>
        <w:numPr>
          <w:ilvl w:val="0"/>
          <w:numId w:val="2"/>
        </w:numPr>
        <w:spacing w:after="60"/>
      </w:pPr>
      <w:r>
        <w:rPr>
          <w:rFonts w:ascii="Calibri" w:cs="Calibri" w:eastAsia="Calibri" w:hAnsi="Calibri"/>
          <w:sz w:val="22"/>
          <w:szCs w:val="22"/>
        </w:rPr>
        <w:t xml:space="preserve">Preprocessing: lowercasing, tokenisation, stop-word handling (keep negations such as 'no', 'not'), lemmatisation.</w:t>
      </w:r>
    </w:p>
    <w:p>
      <w:pPr>
        <w:pStyle w:val="ListParagraph"/>
        <w:numPr>
          <w:ilvl w:val="0"/>
          <w:numId w:val="2"/>
        </w:numPr>
        <w:spacing w:after="60"/>
      </w:pPr>
      <w:r>
        <w:rPr>
          <w:rFonts w:ascii="Calibri" w:cs="Calibri" w:eastAsia="Calibri" w:hAnsi="Calibri"/>
          <w:sz w:val="22"/>
          <w:szCs w:val="22"/>
        </w:rPr>
        <w:t xml:space="preserve">Representation: GloVe/FastText or BioBERT embeddings fed into the recurrent models.</w:t>
      </w:r>
    </w:p>
    <w:p>
      <w:pPr>
        <w:pStyle w:val="ListParagraph"/>
        <w:numPr>
          <w:ilvl w:val="0"/>
          <w:numId w:val="2"/>
        </w:numPr>
        <w:spacing w:after="60"/>
      </w:pPr>
      <w:r>
        <w:rPr>
          <w:rFonts w:ascii="Calibri" w:cs="Calibri" w:eastAsia="Calibri" w:hAnsi="Calibri"/>
          <w:sz w:val="22"/>
          <w:szCs w:val="22"/>
        </w:rPr>
        <w:t xml:space="preserve">Information extraction: sequence labelling to tag symptom words, and classification to give a severity level for each symptom.</w:t>
      </w:r>
    </w:p>
    <w:p>
      <w:pPr>
        <w:pStyle w:val="ListParagraph"/>
        <w:numPr>
          <w:ilvl w:val="0"/>
          <w:numId w:val="2"/>
        </w:numPr>
        <w:spacing w:after="60"/>
      </w:pPr>
      <w:r>
        <w:rPr>
          <w:rFonts w:ascii="Calibri" w:cs="Calibri" w:eastAsia="Calibri" w:hAnsi="Calibri"/>
          <w:sz w:val="22"/>
          <w:szCs w:val="22"/>
        </w:rPr>
        <w:t xml:space="preserve">Explainability: attention weights (or SHAP) to highlight the words behind each severity score.</w:t>
      </w:r>
    </w:p>
    <w:p>
      <w:pPr>
        <w:pStyle w:val="Heading2"/>
        <w:spacing w:after="80" w:before="200"/>
      </w:pPr>
      <w:r>
        <w:rPr>
          <w:rFonts w:ascii="Calibri" w:cs="Calibri" w:eastAsia="Calibri" w:hAnsi="Calibri"/>
          <w:b/>
          <w:bCs/>
          <w:color w:val="2E5E8C"/>
          <w:sz w:val="24"/>
          <w:szCs w:val="24"/>
        </w:rPr>
        <w:t xml:space="preserve">6.2 Where Each Model Is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400"/>
        <w:gridCol w:w="4260"/>
      </w:tblGrid>
      <w:tr>
        <w:trPr>
          <w:tblHeader/>
        </w:trPr>
        <w:tc>
          <w:tcPr>
            <w:tcW w:type="dxa" w:w="1700"/>
            <w:tcBorders>
              <w:top w:val="single" w:color="B0BEC5" w:sz="4"/>
              <w:left w:val="single" w:color="B0BEC5" w:sz="4"/>
              <w:bottom w:val="single" w:color="B0BEC5" w:sz="4"/>
              <w:right w:val="single" w:color="B0BEC5" w:sz="4"/>
            </w:tcBorders>
            <w:shd w:fill="1F3B57" w:color="auto" w:val="clear"/>
            <w:tcMar>
              <w:top w:type="dxa" w:w="70"/>
              <w:left w:type="dxa" w:w="100"/>
              <w:bottom w:type="dxa" w:w="70"/>
              <w:right w:type="dxa" w:w="100"/>
            </w:tcMar>
          </w:tcPr>
          <w:p>
            <w:r>
              <w:rPr>
                <w:rFonts w:ascii="Calibri" w:cs="Calibri" w:eastAsia="Calibri" w:hAnsi="Calibri"/>
                <w:b/>
                <w:bCs/>
                <w:color w:val="FFFFFF"/>
                <w:sz w:val="20"/>
                <w:szCs w:val="20"/>
              </w:rPr>
              <w:t xml:space="preserve">Model</w:t>
            </w:r>
          </w:p>
        </w:tc>
        <w:tc>
          <w:tcPr>
            <w:tcW w:type="dxa" w:w="3400"/>
            <w:tcBorders>
              <w:top w:val="single" w:color="B0BEC5" w:sz="4"/>
              <w:left w:val="single" w:color="B0BEC5" w:sz="4"/>
              <w:bottom w:val="single" w:color="B0BEC5" w:sz="4"/>
              <w:right w:val="single" w:color="B0BEC5" w:sz="4"/>
            </w:tcBorders>
            <w:shd w:fill="1F3B57" w:color="auto" w:val="clear"/>
            <w:tcMar>
              <w:top w:type="dxa" w:w="70"/>
              <w:left w:type="dxa" w:w="100"/>
              <w:bottom w:type="dxa" w:w="70"/>
              <w:right w:type="dxa" w:w="100"/>
            </w:tcMar>
          </w:tcPr>
          <w:p>
            <w:r>
              <w:rPr>
                <w:rFonts w:ascii="Calibri" w:cs="Calibri" w:eastAsia="Calibri" w:hAnsi="Calibri"/>
                <w:b/>
                <w:bCs/>
                <w:color w:val="FFFFFF"/>
                <w:sz w:val="20"/>
                <w:szCs w:val="20"/>
              </w:rPr>
              <w:t xml:space="preserve">Used for</w:t>
            </w:r>
          </w:p>
        </w:tc>
        <w:tc>
          <w:tcPr>
            <w:tcW w:type="dxa" w:w="4260"/>
            <w:tcBorders>
              <w:top w:val="single" w:color="B0BEC5" w:sz="4"/>
              <w:left w:val="single" w:color="B0BEC5" w:sz="4"/>
              <w:bottom w:val="single" w:color="B0BEC5" w:sz="4"/>
              <w:right w:val="single" w:color="B0BEC5" w:sz="4"/>
            </w:tcBorders>
            <w:shd w:fill="1F3B57" w:color="auto" w:val="clear"/>
            <w:tcMar>
              <w:top w:type="dxa" w:w="70"/>
              <w:left w:type="dxa" w:w="100"/>
              <w:bottom w:type="dxa" w:w="70"/>
              <w:right w:type="dxa" w:w="100"/>
            </w:tcMar>
          </w:tcPr>
          <w:p>
            <w:r>
              <w:rPr>
                <w:rFonts w:ascii="Calibri" w:cs="Calibri" w:eastAsia="Calibri" w:hAnsi="Calibri"/>
                <w:b/>
                <w:bCs/>
                <w:color w:val="FFFFFF"/>
                <w:sz w:val="20"/>
                <w:szCs w:val="20"/>
              </w:rPr>
              <w:t xml:space="preserve">Why</w:t>
            </w:r>
          </w:p>
        </w:tc>
      </w:tr>
      <w:tr>
        <w:trPr>
          <w:tblHeader w:val="false"/>
        </w:trPr>
        <w:tc>
          <w:tcPr>
            <w:tcW w:type="dxa" w:w="1700"/>
            <w:tcBorders>
              <w:top w:val="single" w:color="B0BEC5" w:sz="4"/>
              <w:left w:val="single" w:color="B0BEC5" w:sz="4"/>
              <w:bottom w:val="single" w:color="B0BEC5" w:sz="4"/>
              <w:right w:val="single" w:color="B0BEC5" w:sz="4"/>
            </w:tcBorders>
            <w:tcMar>
              <w:top w:type="dxa" w:w="70"/>
              <w:left w:type="dxa" w:w="100"/>
              <w:bottom w:type="dxa" w:w="70"/>
              <w:right w:type="dxa" w:w="100"/>
            </w:tcMar>
          </w:tcPr>
          <w:p>
            <w:r>
              <w:rPr>
                <w:rFonts w:ascii="Calibri" w:cs="Calibri" w:eastAsia="Calibri" w:hAnsi="Calibri"/>
                <w:b/>
                <w:bCs/>
                <w:color w:val="000000"/>
                <w:sz w:val="20"/>
                <w:szCs w:val="20"/>
              </w:rPr>
              <w:t xml:space="preserve">RNN (simple)</w:t>
            </w:r>
          </w:p>
        </w:tc>
        <w:tc>
          <w:tcPr>
            <w:tcW w:type="dxa" w:w="3400"/>
            <w:tcBorders>
              <w:top w:val="single" w:color="B0BEC5" w:sz="4"/>
              <w:left w:val="single" w:color="B0BEC5" w:sz="4"/>
              <w:bottom w:val="single" w:color="B0BEC5" w:sz="4"/>
              <w:right w:val="single" w:color="B0BEC5"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Baseline for diary classification and trend prediction</w:t>
            </w:r>
          </w:p>
        </w:tc>
        <w:tc>
          <w:tcPr>
            <w:tcW w:type="dxa" w:w="4260"/>
            <w:tcBorders>
              <w:top w:val="single" w:color="B0BEC5" w:sz="4"/>
              <w:left w:val="single" w:color="B0BEC5" w:sz="4"/>
              <w:bottom w:val="single" w:color="B0BEC5" w:sz="4"/>
              <w:right w:val="single" w:color="B0BEC5"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Simple, but suffers from vanishing gradients on long entries, so it is the comparison baseline</w:t>
            </w:r>
          </w:p>
        </w:tc>
      </w:tr>
      <w:tr>
        <w:trPr>
          <w:tblHeader w:val="false"/>
        </w:trPr>
        <w:tc>
          <w:tcPr>
            <w:tcW w:type="dxa" w:w="1700"/>
            <w:tcBorders>
              <w:top w:val="single" w:color="B0BEC5" w:sz="4"/>
              <w:left w:val="single" w:color="B0BEC5" w:sz="4"/>
              <w:bottom w:val="single" w:color="B0BEC5" w:sz="4"/>
              <w:right w:val="single" w:color="B0BEC5" w:sz="4"/>
            </w:tcBorders>
            <w:tcMar>
              <w:top w:type="dxa" w:w="70"/>
              <w:left w:type="dxa" w:w="100"/>
              <w:bottom w:type="dxa" w:w="70"/>
              <w:right w:type="dxa" w:w="100"/>
            </w:tcMar>
          </w:tcPr>
          <w:p>
            <w:r>
              <w:rPr>
                <w:rFonts w:ascii="Calibri" w:cs="Calibri" w:eastAsia="Calibri" w:hAnsi="Calibri"/>
                <w:b/>
                <w:bCs/>
                <w:color w:val="000000"/>
                <w:sz w:val="20"/>
                <w:szCs w:val="20"/>
              </w:rPr>
              <w:t xml:space="preserve">LSTM</w:t>
            </w:r>
          </w:p>
        </w:tc>
        <w:tc>
          <w:tcPr>
            <w:tcW w:type="dxa" w:w="3400"/>
            <w:tcBorders>
              <w:top w:val="single" w:color="B0BEC5" w:sz="4"/>
              <w:left w:val="single" w:color="B0BEC5" w:sz="4"/>
              <w:bottom w:val="single" w:color="B0BEC5" w:sz="4"/>
              <w:right w:val="single" w:color="B0BEC5"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Recovery trend forecasting from daily score sequences</w:t>
            </w:r>
          </w:p>
        </w:tc>
        <w:tc>
          <w:tcPr>
            <w:tcW w:type="dxa" w:w="4260"/>
            <w:tcBorders>
              <w:top w:val="single" w:color="B0BEC5" w:sz="4"/>
              <w:left w:val="single" w:color="B0BEC5" w:sz="4"/>
              <w:bottom w:val="single" w:color="B0BEC5" w:sz="4"/>
              <w:right w:val="single" w:color="B0BEC5"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Memory cells keep long-term patterns such as slow improvement over weeks</w:t>
            </w:r>
          </w:p>
        </w:tc>
      </w:tr>
      <w:tr>
        <w:trPr>
          <w:tblHeader w:val="false"/>
        </w:trPr>
        <w:tc>
          <w:tcPr>
            <w:tcW w:type="dxa" w:w="1700"/>
            <w:tcBorders>
              <w:top w:val="single" w:color="B0BEC5" w:sz="4"/>
              <w:left w:val="single" w:color="B0BEC5" w:sz="4"/>
              <w:bottom w:val="single" w:color="B0BEC5" w:sz="4"/>
              <w:right w:val="single" w:color="B0BEC5" w:sz="4"/>
            </w:tcBorders>
            <w:tcMar>
              <w:top w:type="dxa" w:w="70"/>
              <w:left w:type="dxa" w:w="100"/>
              <w:bottom w:type="dxa" w:w="70"/>
              <w:right w:type="dxa" w:w="100"/>
            </w:tcMar>
          </w:tcPr>
          <w:p>
            <w:r>
              <w:rPr>
                <w:rFonts w:ascii="Calibri" w:cs="Calibri" w:eastAsia="Calibri" w:hAnsi="Calibri"/>
                <w:b/>
                <w:bCs/>
                <w:color w:val="000000"/>
                <w:sz w:val="20"/>
                <w:szCs w:val="20"/>
              </w:rPr>
              <w:t xml:space="preserve">GRU</w:t>
            </w:r>
          </w:p>
        </w:tc>
        <w:tc>
          <w:tcPr>
            <w:tcW w:type="dxa" w:w="3400"/>
            <w:tcBorders>
              <w:top w:val="single" w:color="B0BEC5" w:sz="4"/>
              <w:left w:val="single" w:color="B0BEC5" w:sz="4"/>
              <w:bottom w:val="single" w:color="B0BEC5" w:sz="4"/>
              <w:right w:val="single" w:color="B0BEC5"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Plateau / relapse detection and sign recognition from landmark sequences</w:t>
            </w:r>
          </w:p>
        </w:tc>
        <w:tc>
          <w:tcPr>
            <w:tcW w:type="dxa" w:w="4260"/>
            <w:tcBorders>
              <w:top w:val="single" w:color="B0BEC5" w:sz="4"/>
              <w:left w:val="single" w:color="B0BEC5" w:sz="4"/>
              <w:bottom w:val="single" w:color="B0BEC5" w:sz="4"/>
              <w:right w:val="single" w:color="B0BEC5"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Fewer parameters than LSTM, trains faster, works well with small datasets</w:t>
            </w:r>
          </w:p>
        </w:tc>
      </w:tr>
      <w:tr>
        <w:trPr>
          <w:tblHeader w:val="false"/>
        </w:trPr>
        <w:tc>
          <w:tcPr>
            <w:tcW w:type="dxa" w:w="1700"/>
            <w:tcBorders>
              <w:top w:val="single" w:color="B0BEC5" w:sz="4"/>
              <w:left w:val="single" w:color="B0BEC5" w:sz="4"/>
              <w:bottom w:val="single" w:color="B0BEC5" w:sz="4"/>
              <w:right w:val="single" w:color="B0BEC5" w:sz="4"/>
            </w:tcBorders>
            <w:tcMar>
              <w:top w:type="dxa" w:w="70"/>
              <w:left w:type="dxa" w:w="100"/>
              <w:bottom w:type="dxa" w:w="70"/>
              <w:right w:type="dxa" w:w="100"/>
            </w:tcMar>
          </w:tcPr>
          <w:p>
            <w:r>
              <w:rPr>
                <w:rFonts w:ascii="Calibri" w:cs="Calibri" w:eastAsia="Calibri" w:hAnsi="Calibri"/>
                <w:b/>
                <w:bCs/>
                <w:color w:val="000000"/>
                <w:sz w:val="20"/>
                <w:szCs w:val="20"/>
              </w:rPr>
              <w:t xml:space="preserve">BiLSTM (+ attention)</w:t>
            </w:r>
          </w:p>
        </w:tc>
        <w:tc>
          <w:tcPr>
            <w:tcW w:type="dxa" w:w="3400"/>
            <w:tcBorders>
              <w:top w:val="single" w:color="B0BEC5" w:sz="4"/>
              <w:left w:val="single" w:color="B0BEC5" w:sz="4"/>
              <w:bottom w:val="single" w:color="B0BEC5" w:sz="4"/>
              <w:right w:val="single" w:color="B0BEC5"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Diary symptom extraction and severity classification</w:t>
            </w:r>
          </w:p>
        </w:tc>
        <w:tc>
          <w:tcPr>
            <w:tcW w:type="dxa" w:w="4260"/>
            <w:tcBorders>
              <w:top w:val="single" w:color="B0BEC5" w:sz="4"/>
              <w:left w:val="single" w:color="B0BEC5" w:sz="4"/>
              <w:bottom w:val="single" w:color="B0BEC5" w:sz="4"/>
              <w:right w:val="single" w:color="B0BEC5"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Reads text in both directions, so it handles phrases like 'no pain but very stiff in the morning'</w:t>
            </w:r>
          </w:p>
        </w:tc>
      </w:tr>
    </w:tbl>
    <w:p>
      <w:pPr>
        <w:pStyle w:val="Heading2"/>
        <w:spacing w:after="80" w:before="200"/>
      </w:pPr>
      <w:r>
        <w:rPr>
          <w:rFonts w:ascii="Calibri" w:cs="Calibri" w:eastAsia="Calibri" w:hAnsi="Calibri"/>
          <w:b/>
          <w:bCs/>
          <w:color w:val="2E5E8C"/>
          <w:sz w:val="24"/>
          <w:szCs w:val="24"/>
        </w:rPr>
        <w:t xml:space="preserve">6.3 Planned Model Comparison</w:t>
      </w:r>
    </w:p>
    <w:p>
      <w:pPr>
        <w:spacing w:after="100"/>
      </w:pPr>
      <w:r>
        <w:rPr>
          <w:rFonts w:ascii="Calibri" w:cs="Calibri" w:eastAsia="Calibri" w:hAnsi="Calibri"/>
          <w:sz w:val="22"/>
          <w:szCs w:val="22"/>
        </w:rPr>
        <w:t xml:space="preserve">Train RNN, LSTM, GRU and BiLSTM on the same data and compare them. Use diary classification for the text task and the simulated recovery sequences for the trend task. Report the results in a table and select the best model for each module.</w:t>
      </w:r>
    </w:p>
    <w:p>
      <w:pPr>
        <w:pStyle w:val="Heading2"/>
        <w:spacing w:after="80" w:before="200"/>
      </w:pPr>
      <w:r>
        <w:rPr>
          <w:rFonts w:ascii="Calibri" w:cs="Calibri" w:eastAsia="Calibri" w:hAnsi="Calibri"/>
          <w:b/>
          <w:bCs/>
          <w:color w:val="2E5E8C"/>
          <w:sz w:val="24"/>
          <w:szCs w:val="24"/>
        </w:rPr>
        <w:t xml:space="preserve">6.4 Evaluation Metrics</w:t>
      </w:r>
    </w:p>
    <w:p>
      <w:pPr>
        <w:pStyle w:val="ListParagraph"/>
        <w:numPr>
          <w:ilvl w:val="0"/>
          <w:numId w:val="2"/>
        </w:numPr>
        <w:spacing w:after="60"/>
      </w:pPr>
      <w:r>
        <w:rPr>
          <w:rFonts w:ascii="Calibri" w:cs="Calibri" w:eastAsia="Calibri" w:hAnsi="Calibri"/>
          <w:sz w:val="22"/>
          <w:szCs w:val="22"/>
        </w:rPr>
        <w:t xml:space="preserve">Diary NLP: accuracy, precision, recall, F1-score, confusion matrix.</w:t>
      </w:r>
    </w:p>
    <w:p>
      <w:pPr>
        <w:pStyle w:val="ListParagraph"/>
        <w:numPr>
          <w:ilvl w:val="0"/>
          <w:numId w:val="2"/>
        </w:numPr>
        <w:spacing w:after="60"/>
      </w:pPr>
      <w:r>
        <w:rPr>
          <w:rFonts w:ascii="Calibri" w:cs="Calibri" w:eastAsia="Calibri" w:hAnsi="Calibri"/>
          <w:sz w:val="22"/>
          <w:szCs w:val="22"/>
        </w:rPr>
        <w:t xml:space="preserve">Exercise form checker: angle error against manual measurement, repetition-count accuracy.</w:t>
      </w:r>
    </w:p>
    <w:p>
      <w:pPr>
        <w:pStyle w:val="ListParagraph"/>
        <w:numPr>
          <w:ilvl w:val="0"/>
          <w:numId w:val="2"/>
        </w:numPr>
        <w:spacing w:after="60"/>
      </w:pPr>
      <w:r>
        <w:rPr>
          <w:rFonts w:ascii="Calibri" w:cs="Calibri" w:eastAsia="Calibri" w:hAnsi="Calibri"/>
          <w:sz w:val="22"/>
          <w:szCs w:val="22"/>
        </w:rPr>
        <w:t xml:space="preserve">Sign recognition: top-1 accuracy.</w:t>
      </w:r>
    </w:p>
    <w:p>
      <w:pPr>
        <w:pStyle w:val="ListParagraph"/>
        <w:numPr>
          <w:ilvl w:val="0"/>
          <w:numId w:val="2"/>
        </w:numPr>
        <w:spacing w:after="60"/>
      </w:pPr>
      <w:r>
        <w:rPr>
          <w:rFonts w:ascii="Calibri" w:cs="Calibri" w:eastAsia="Calibri" w:hAnsi="Calibri"/>
          <w:sz w:val="22"/>
          <w:szCs w:val="22"/>
        </w:rPr>
        <w:t xml:space="preserve">Trend forecasting: MAE and RMSE; plateau / relapse detection: precision and recall.</w:t>
      </w:r>
    </w:p>
    <w:p>
      <w:pPr>
        <w:pStyle w:val="Heading1"/>
        <w:spacing w:after="120" w:before="300"/>
      </w:pPr>
      <w:r>
        <w:rPr>
          <w:rFonts w:ascii="Calibri" w:cs="Calibri" w:eastAsia="Calibri" w:hAnsi="Calibri"/>
          <w:b/>
          <w:bCs/>
          <w:color w:val="1F3B57"/>
          <w:sz w:val="28"/>
          <w:szCs w:val="28"/>
        </w:rPr>
        <w:t xml:space="preserve">7. Limitations to State in the Report</w:t>
      </w:r>
    </w:p>
    <w:p>
      <w:pPr>
        <w:pStyle w:val="ListParagraph"/>
        <w:numPr>
          <w:ilvl w:val="0"/>
          <w:numId w:val="2"/>
        </w:numPr>
        <w:spacing w:after="60"/>
      </w:pPr>
      <w:r>
        <w:rPr>
          <w:rFonts w:ascii="Calibri" w:cs="Calibri" w:eastAsia="Calibri" w:hAnsi="Calibri"/>
          <w:sz w:val="22"/>
          <w:szCs w:val="22"/>
        </w:rPr>
        <w:t xml:space="preserve">The diary and recovery-trend data are built or simulated, so results should be confirmed with a small pilot or physiotherapist review.</w:t>
      </w:r>
    </w:p>
    <w:p>
      <w:pPr>
        <w:pStyle w:val="ListParagraph"/>
        <w:numPr>
          <w:ilvl w:val="0"/>
          <w:numId w:val="2"/>
        </w:numPr>
        <w:spacing w:after="60"/>
      </w:pPr>
      <w:r>
        <w:rPr>
          <w:rFonts w:ascii="Calibri" w:cs="Calibri" w:eastAsia="Calibri" w:hAnsi="Calibri"/>
          <w:sz w:val="22"/>
          <w:szCs w:val="22"/>
        </w:rPr>
        <w:t xml:space="preserve">The system supports recovery monitoring and is not a medical diagnosis tool. Alerts advise consulting a physiotherapist.</w:t>
      </w:r>
    </w:p>
    <w:sectPr>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e8ee40d41efd5864cf627cdc401d80d23f28ddf.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2026-10-08T04:25:45.509Z</dcterms:created>
  <dcterms:modified xsi:type="dcterms:W3CDTF">2026-10-08T04:25:45.514Z</dcterms:modified>
</cp:coreProperties>
</file>

<file path=docProps/custom.xml><?xml version="1.0" encoding="utf-8"?>
<Properties xmlns="http://schemas.openxmlformats.org/officeDocument/2006/custom-properties" xmlns:vt="http://schemas.openxmlformats.org/officeDocument/2006/docPropsVTypes"/>
</file>