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B8860B"/>
          <w:sz w:val="60"/>
          <w:szCs w:val="60"/>
        </w:rPr>
        <w:t xml:space="preserve">NORTHWIND ANALYTICS</w:t>
      </w:r>
    </w:p>
    <w:p>
      <w:pPr>
        <w:spacing w:after="200"/>
        <w:jc w:val="center"/>
      </w:pPr>
      <w:r>
        <w:rPr>
          <w:rFonts w:ascii="Arial" w:cs="Arial" w:eastAsia="Arial" w:hAnsi="Arial"/>
          <w:b/>
          <w:bCs/>
          <w:color w:val="2C2C2C"/>
          <w:sz w:val="40"/>
          <w:szCs w:val="40"/>
        </w:rPr>
        <w:t xml:space="preserve">Sales Analysis Project</w:t>
      </w:r>
    </w:p>
    <w:p>
      <w:pPr>
        <w:jc w:val="center"/>
      </w:pPr>
      <w:r>
        <w:rPr>
          <w:rFonts w:ascii="Arial" w:cs="Arial" w:eastAsia="Arial" w:hAnsi="Arial"/>
          <w:color w:val="555555"/>
          <w:sz w:val="28"/>
          <w:szCs w:val="28"/>
        </w:rPr>
        <w:t xml:space="preserve">Project Documentation Report</w:t>
      </w:r>
    </w:p>
    <w:p>
      <w:pPr>
        <w:jc w:val="center"/>
      </w:pPr>
      <w:r>
        <w:rPr>
          <w:rFonts w:ascii="Arial" w:cs="Arial" w:eastAsia="Arial" w:hAnsi="Arial"/>
          <w:color w:val="888888"/>
          <w:sz w:val="24"/>
          <w:szCs w:val="24"/>
        </w:rPr>
        <w:t xml:space="preserve">Multi-Dimensional Business Intelligence | 1994 – 1997</w:t>
      </w:r>
    </w:p>
    <w:p>
      <w:r>
        <w:br w:type="page"/>
      </w:r>
    </w:p>
    <w:p>
      <w:pPr>
        <w:pStyle w:val="Heading1"/>
        <w:pBdr>
          <w:bottom w:val="single" w:color="B8860B" w:sz="4" w:space="4"/>
        </w:pBdr>
        <w:spacing w:before="400" w:after="160"/>
      </w:pPr>
      <w:r>
        <w:rPr>
          <w:rFonts w:ascii="Arial" w:cs="Arial" w:eastAsia="Arial" w:hAnsi="Arial"/>
          <w:b/>
          <w:bCs/>
          <w:color w:val="B8860B"/>
          <w:sz w:val="32"/>
          <w:szCs w:val="32"/>
        </w:rPr>
        <w:t xml:space="preserve">1. Introduction</w:t>
      </w:r>
    </w:p>
    <w:p>
      <w:pPr>
        <w:spacing w:before="80" w:after="80"/>
      </w:pPr>
      <w:r>
        <w:rPr>
          <w:rFonts w:ascii="Arial" w:cs="Arial" w:eastAsia="Arial" w:hAnsi="Arial"/>
          <w:color w:val="1A1A1A"/>
          <w:sz w:val="22"/>
          <w:szCs w:val="22"/>
        </w:rPr>
        <w:t xml:space="preserve">This document is the project documentation for the Northwind Sales Analysis project. The project applies exploratory data analysis, SQL querying, and Power BI dashboard development to the Northwind trading company database, covering 1994–1997.</w:t>
      </w:r>
    </w:p>
    <w:p>
      <w:pPr>
        <w:spacing w:before="80" w:after="80"/>
      </w:pPr>
      <w:r>
        <w:rPr>
          <w:rFonts w:ascii="Arial" w:cs="Arial" w:eastAsia="Arial" w:hAnsi="Arial"/>
          <w:color w:val="1A1A1A"/>
          <w:sz w:val="22"/>
          <w:szCs w:val="22"/>
        </w:rPr>
        <w:t xml:space="preserve">Five business domains are analysed: Customer behaviour, Order performance, Employee productivity, Product revenue, and Supplier distribution. Deliverables include 15 SQL-based EDA solutions, 15 Power BI visualisations across 5 themed dashboards, and this report.</w:t>
      </w:r>
    </w:p>
    <w:p>
      <w:pPr>
        <w:spacing w:before="100" w:after="100"/>
      </w:pPr>
      <w:r>
        <w:t xml:space="preserve"/>
      </w:r>
    </w:p>
    <w:p>
      <w:pPr>
        <w:pStyle w:val="Heading1"/>
        <w:pBdr>
          <w:bottom w:val="single" w:color="B8860B" w:sz="4" w:space="4"/>
        </w:pBdr>
        <w:spacing w:before="400" w:after="160"/>
      </w:pPr>
      <w:r>
        <w:rPr>
          <w:rFonts w:ascii="Arial" w:cs="Arial" w:eastAsia="Arial" w:hAnsi="Arial"/>
          <w:b/>
          <w:bCs/>
          <w:color w:val="B8860B"/>
          <w:sz w:val="32"/>
          <w:szCs w:val="32"/>
        </w:rPr>
        <w:t xml:space="preserve">2. Problem Statement</w:t>
      </w:r>
    </w:p>
    <w:p>
      <w:pPr>
        <w:pStyle w:val="Heading2"/>
        <w:spacing w:before="280" w:after="100"/>
      </w:pPr>
      <w:r>
        <w:rPr>
          <w:rFonts w:ascii="Arial" w:cs="Arial" w:eastAsia="Arial" w:hAnsi="Arial"/>
          <w:b/>
          <w:bCs/>
          <w:color w:val="2C2C2C"/>
          <w:sz w:val="26"/>
          <w:szCs w:val="26"/>
        </w:rPr>
        <w:t xml:space="preserve">2.1 EDA Questions Addressed</w:t>
      </w:r>
    </w:p>
    <w:p>
      <w:pPr>
        <w:pStyle w:val="ListParagraph"/>
        <w:numPr>
          <w:ilvl w:val="0"/>
          <w:numId w:val="2"/>
        </w:numPr>
        <w:spacing w:before="60" w:after="60"/>
      </w:pPr>
      <w:r>
        <w:rPr>
          <w:rFonts w:ascii="Arial" w:cs="Arial" w:eastAsia="Arial" w:hAnsi="Arial"/>
          <w:color w:val="1A1A1A"/>
          <w:sz w:val="22"/>
          <w:szCs w:val="22"/>
        </w:rPr>
        <w:t xml:space="preserve">Average orders per customer and high-value repeat customer identification</w:t>
      </w:r>
    </w:p>
    <w:p>
      <w:pPr>
        <w:pStyle w:val="ListParagraph"/>
        <w:numPr>
          <w:ilvl w:val="0"/>
          <w:numId w:val="2"/>
        </w:numPr>
        <w:spacing w:before="60" w:after="60"/>
      </w:pPr>
      <w:r>
        <w:rPr>
          <w:rFonts w:ascii="Arial" w:cs="Arial" w:eastAsia="Arial" w:hAnsi="Arial"/>
          <w:color w:val="1A1A1A"/>
          <w:sz w:val="22"/>
          <w:szCs w:val="22"/>
        </w:rPr>
        <w:t xml:space="preserve">Customer order pattern variation by city and country</w:t>
      </w:r>
    </w:p>
    <w:p>
      <w:pPr>
        <w:pStyle w:val="ListParagraph"/>
        <w:numPr>
          <w:ilvl w:val="0"/>
          <w:numId w:val="2"/>
        </w:numPr>
        <w:spacing w:before="60" w:after="60"/>
      </w:pPr>
      <w:r>
        <w:rPr>
          <w:rFonts w:ascii="Arial" w:cs="Arial" w:eastAsia="Arial" w:hAnsi="Arial"/>
          <w:color w:val="1A1A1A"/>
          <w:sz w:val="22"/>
          <w:szCs w:val="22"/>
        </w:rPr>
        <w:t xml:space="preserve">Customer segmentation by spend, order count, and preferred categories</w:t>
      </w:r>
    </w:p>
    <w:p>
      <w:pPr>
        <w:pStyle w:val="ListParagraph"/>
        <w:numPr>
          <w:ilvl w:val="0"/>
          <w:numId w:val="2"/>
        </w:numPr>
        <w:spacing w:before="60" w:after="60"/>
      </w:pPr>
      <w:r>
        <w:rPr>
          <w:rFonts w:ascii="Arial" w:cs="Arial" w:eastAsia="Arial" w:hAnsi="Arial"/>
          <w:color w:val="1A1A1A"/>
          <w:sz w:val="22"/>
          <w:szCs w:val="22"/>
        </w:rPr>
        <w:t xml:space="preserve">Product categories and products contributing most to revenue</w:t>
      </w:r>
    </w:p>
    <w:p>
      <w:pPr>
        <w:pStyle w:val="ListParagraph"/>
        <w:numPr>
          <w:ilvl w:val="0"/>
          <w:numId w:val="2"/>
        </w:numPr>
        <w:spacing w:before="60" w:after="60"/>
      </w:pPr>
      <w:r>
        <w:rPr>
          <w:rFonts w:ascii="Arial" w:cs="Arial" w:eastAsia="Arial" w:hAnsi="Arial"/>
          <w:color w:val="1A1A1A"/>
          <w:sz w:val="22"/>
          <w:szCs w:val="22"/>
        </w:rPr>
        <w:t xml:space="preserve">Correlation between orders and customer location or product category</w:t>
      </w:r>
    </w:p>
    <w:p>
      <w:pPr>
        <w:pStyle w:val="ListParagraph"/>
        <w:numPr>
          <w:ilvl w:val="0"/>
          <w:numId w:val="2"/>
        </w:numPr>
        <w:spacing w:before="60" w:after="60"/>
      </w:pPr>
      <w:r>
        <w:rPr>
          <w:rFonts w:ascii="Arial" w:cs="Arial" w:eastAsia="Arial" w:hAnsi="Arial"/>
          <w:color w:val="1A1A1A"/>
          <w:sz w:val="22"/>
          <w:szCs w:val="22"/>
        </w:rPr>
        <w:t xml:space="preserve">Order frequency variation across customer segments</w:t>
      </w:r>
    </w:p>
    <w:p>
      <w:pPr>
        <w:pStyle w:val="ListParagraph"/>
        <w:numPr>
          <w:ilvl w:val="0"/>
          <w:numId w:val="2"/>
        </w:numPr>
        <w:spacing w:before="60" w:after="60"/>
      </w:pPr>
      <w:r>
        <w:rPr>
          <w:rFonts w:ascii="Arial" w:cs="Arial" w:eastAsia="Arial" w:hAnsi="Arial"/>
          <w:color w:val="1A1A1A"/>
          <w:sz w:val="22"/>
          <w:szCs w:val="22"/>
        </w:rPr>
        <w:t xml:space="preserve">Geographic and title-wise distribution of employees</w:t>
      </w:r>
    </w:p>
    <w:p>
      <w:pPr>
        <w:pStyle w:val="ListParagraph"/>
        <w:numPr>
          <w:ilvl w:val="0"/>
          <w:numId w:val="2"/>
        </w:numPr>
        <w:spacing w:before="60" w:after="60"/>
      </w:pPr>
      <w:r>
        <w:rPr>
          <w:rFonts w:ascii="Arial" w:cs="Arial" w:eastAsia="Arial" w:hAnsi="Arial"/>
          <w:color w:val="1A1A1A"/>
          <w:sz w:val="22"/>
          <w:szCs w:val="22"/>
        </w:rPr>
        <w:t xml:space="preserve">Hiring trends across employee titles over time</w:t>
      </w:r>
    </w:p>
    <w:p>
      <w:pPr>
        <w:pStyle w:val="ListParagraph"/>
        <w:numPr>
          <w:ilvl w:val="0"/>
          <w:numId w:val="2"/>
        </w:numPr>
        <w:spacing w:before="60" w:after="60"/>
      </w:pPr>
      <w:r>
        <w:rPr>
          <w:rFonts w:ascii="Arial" w:cs="Arial" w:eastAsia="Arial" w:hAnsi="Arial"/>
          <w:color w:val="1A1A1A"/>
          <w:sz w:val="22"/>
          <w:szCs w:val="22"/>
        </w:rPr>
        <w:t xml:space="preserve">Patterns in employee title and courtesy title distributions</w:t>
      </w:r>
    </w:p>
    <w:p>
      <w:pPr>
        <w:pStyle w:val="ListParagraph"/>
        <w:numPr>
          <w:ilvl w:val="0"/>
          <w:numId w:val="2"/>
        </w:numPr>
        <w:spacing w:before="60" w:after="60"/>
      </w:pPr>
      <w:r>
        <w:rPr>
          <w:rFonts w:ascii="Arial" w:cs="Arial" w:eastAsia="Arial" w:hAnsi="Arial"/>
          <w:color w:val="1A1A1A"/>
          <w:sz w:val="22"/>
          <w:szCs w:val="22"/>
        </w:rPr>
        <w:t xml:space="preserve">Correlations between product pricing, stock levels, and sales</w:t>
      </w:r>
    </w:p>
    <w:p>
      <w:pPr>
        <w:pStyle w:val="ListParagraph"/>
        <w:numPr>
          <w:ilvl w:val="0"/>
          <w:numId w:val="2"/>
        </w:numPr>
        <w:spacing w:before="60" w:after="60"/>
      </w:pPr>
      <w:r>
        <w:rPr>
          <w:rFonts w:ascii="Arial" w:cs="Arial" w:eastAsia="Arial" w:hAnsi="Arial"/>
          <w:color w:val="1A1A1A"/>
          <w:sz w:val="22"/>
          <w:szCs w:val="22"/>
        </w:rPr>
        <w:t xml:space="preserve">Monthly and seasonal product demand changes</w:t>
      </w:r>
    </w:p>
    <w:p>
      <w:pPr>
        <w:pStyle w:val="ListParagraph"/>
        <w:numPr>
          <w:ilvl w:val="0"/>
          <w:numId w:val="2"/>
        </w:numPr>
        <w:spacing w:before="60" w:after="60"/>
      </w:pPr>
      <w:r>
        <w:rPr>
          <w:rFonts w:ascii="Arial" w:cs="Arial" w:eastAsia="Arial" w:hAnsi="Arial"/>
          <w:color w:val="1A1A1A"/>
          <w:sz w:val="22"/>
          <w:szCs w:val="22"/>
        </w:rPr>
        <w:t xml:space="preserve">Anomaly identification in product sales or revenue performance</w:t>
      </w:r>
    </w:p>
    <w:p>
      <w:pPr>
        <w:pStyle w:val="ListParagraph"/>
        <w:numPr>
          <w:ilvl w:val="0"/>
          <w:numId w:val="2"/>
        </w:numPr>
        <w:spacing w:before="60" w:after="60"/>
      </w:pPr>
      <w:r>
        <w:rPr>
          <w:rFonts w:ascii="Arial" w:cs="Arial" w:eastAsia="Arial" w:hAnsi="Arial"/>
          <w:color w:val="1A1A1A"/>
          <w:sz w:val="22"/>
          <w:szCs w:val="22"/>
        </w:rPr>
        <w:t xml:space="preserve">Regional trends in supplier distribution and pricing</w:t>
      </w:r>
    </w:p>
    <w:p>
      <w:pPr>
        <w:pStyle w:val="ListParagraph"/>
        <w:numPr>
          <w:ilvl w:val="0"/>
          <w:numId w:val="2"/>
        </w:numPr>
        <w:spacing w:before="60" w:after="60"/>
      </w:pPr>
      <w:r>
        <w:rPr>
          <w:rFonts w:ascii="Arial" w:cs="Arial" w:eastAsia="Arial" w:hAnsi="Arial"/>
          <w:color w:val="1A1A1A"/>
          <w:sz w:val="22"/>
          <w:szCs w:val="22"/>
        </w:rPr>
        <w:t xml:space="preserve">Supplier distribution across different product categories</w:t>
      </w:r>
    </w:p>
    <w:p>
      <w:pPr>
        <w:pStyle w:val="ListParagraph"/>
        <w:numPr>
          <w:ilvl w:val="0"/>
          <w:numId w:val="2"/>
        </w:numPr>
        <w:spacing w:before="60" w:after="60"/>
      </w:pPr>
      <w:r>
        <w:rPr>
          <w:rFonts w:ascii="Arial" w:cs="Arial" w:eastAsia="Arial" w:hAnsi="Arial"/>
          <w:color w:val="1A1A1A"/>
          <w:sz w:val="22"/>
          <w:szCs w:val="22"/>
        </w:rPr>
        <w:t xml:space="preserve">Supplier pricing and category relationships across regions</w:t>
      </w:r>
    </w:p>
    <w:p>
      <w:pPr>
        <w:pStyle w:val="Heading2"/>
        <w:spacing w:before="280" w:after="100"/>
      </w:pPr>
      <w:r>
        <w:rPr>
          <w:rFonts w:ascii="Arial" w:cs="Arial" w:eastAsia="Arial" w:hAnsi="Arial"/>
          <w:b/>
          <w:bCs/>
          <w:color w:val="2C2C2C"/>
          <w:sz w:val="26"/>
          <w:szCs w:val="26"/>
        </w:rPr>
        <w:t xml:space="preserve">2.2 Power BI Questions Addressed</w:t>
      </w:r>
    </w:p>
    <w:p>
      <w:pPr>
        <w:pStyle w:val="ListParagraph"/>
        <w:numPr>
          <w:ilvl w:val="0"/>
          <w:numId w:val="2"/>
        </w:numPr>
        <w:spacing w:before="60" w:after="60"/>
      </w:pPr>
      <w:r>
        <w:rPr>
          <w:rFonts w:ascii="Arial" w:cs="Arial" w:eastAsia="Arial" w:hAnsi="Arial"/>
          <w:color w:val="1A1A1A"/>
          <w:sz w:val="22"/>
          <w:szCs w:val="22"/>
        </w:rPr>
        <w:t xml:space="preserve">Customer distribution by country/city — Map and bar chart</w:t>
      </w:r>
    </w:p>
    <w:p>
      <w:pPr>
        <w:pStyle w:val="ListParagraph"/>
        <w:numPr>
          <w:ilvl w:val="0"/>
          <w:numId w:val="2"/>
        </w:numPr>
        <w:spacing w:before="60" w:after="60"/>
      </w:pPr>
      <w:r>
        <w:rPr>
          <w:rFonts w:ascii="Arial" w:cs="Arial" w:eastAsia="Arial" w:hAnsi="Arial"/>
          <w:color w:val="1A1A1A"/>
          <w:sz w:val="22"/>
          <w:szCs w:val="22"/>
        </w:rPr>
        <w:t xml:space="preserve">Orders trend over time — Line chart</w:t>
      </w:r>
    </w:p>
    <w:p>
      <w:pPr>
        <w:pStyle w:val="ListParagraph"/>
        <w:numPr>
          <w:ilvl w:val="0"/>
          <w:numId w:val="2"/>
        </w:numPr>
        <w:spacing w:before="60" w:after="60"/>
      </w:pPr>
      <w:r>
        <w:rPr>
          <w:rFonts w:ascii="Arial" w:cs="Arial" w:eastAsia="Arial" w:hAnsi="Arial"/>
          <w:color w:val="1A1A1A"/>
          <w:sz w:val="22"/>
          <w:szCs w:val="22"/>
        </w:rPr>
        <w:t xml:space="preserve">Customers by ContactTitle/Region — Donut/stacked bar</w:t>
      </w:r>
    </w:p>
    <w:p>
      <w:pPr>
        <w:pStyle w:val="ListParagraph"/>
        <w:numPr>
          <w:ilvl w:val="0"/>
          <w:numId w:val="2"/>
        </w:numPr>
        <w:spacing w:before="60" w:after="60"/>
      </w:pPr>
      <w:r>
        <w:rPr>
          <w:rFonts w:ascii="Arial" w:cs="Arial" w:eastAsia="Arial" w:hAnsi="Arial"/>
          <w:color w:val="1A1A1A"/>
          <w:sz w:val="22"/>
          <w:szCs w:val="22"/>
        </w:rPr>
        <w:t xml:space="preserve">Order volume change over time — Line chart</w:t>
      </w:r>
    </w:p>
    <w:p>
      <w:pPr>
        <w:pStyle w:val="ListParagraph"/>
        <w:numPr>
          <w:ilvl w:val="0"/>
          <w:numId w:val="2"/>
        </w:numPr>
        <w:spacing w:before="60" w:after="60"/>
      </w:pPr>
      <w:r>
        <w:rPr>
          <w:rFonts w:ascii="Arial" w:cs="Arial" w:eastAsia="Arial" w:hAnsi="Arial"/>
          <w:color w:val="1A1A1A"/>
          <w:sz w:val="22"/>
          <w:szCs w:val="22"/>
        </w:rPr>
        <w:t xml:space="preserve">Order value distribution — Histogram</w:t>
      </w:r>
    </w:p>
    <w:p>
      <w:pPr>
        <w:pStyle w:val="ListParagraph"/>
        <w:numPr>
          <w:ilvl w:val="0"/>
          <w:numId w:val="2"/>
        </w:numPr>
        <w:spacing w:before="60" w:after="60"/>
      </w:pPr>
      <w:r>
        <w:rPr>
          <w:rFonts w:ascii="Arial" w:cs="Arial" w:eastAsia="Arial" w:hAnsi="Arial"/>
          <w:color w:val="1A1A1A"/>
          <w:sz w:val="22"/>
          <w:szCs w:val="22"/>
        </w:rPr>
        <w:t xml:space="preserve">Average order shipping duration — Bar chart</w:t>
      </w:r>
    </w:p>
    <w:p>
      <w:pPr>
        <w:pStyle w:val="ListParagraph"/>
        <w:numPr>
          <w:ilvl w:val="0"/>
          <w:numId w:val="2"/>
        </w:numPr>
        <w:spacing w:before="60" w:after="60"/>
      </w:pPr>
      <w:r>
        <w:rPr>
          <w:rFonts w:ascii="Arial" w:cs="Arial" w:eastAsia="Arial" w:hAnsi="Arial"/>
          <w:color w:val="1A1A1A"/>
          <w:sz w:val="22"/>
          <w:szCs w:val="22"/>
        </w:rPr>
        <w:t xml:space="preserve">Employee count by title/region — Bar chart and map</w:t>
      </w:r>
    </w:p>
    <w:p>
      <w:pPr>
        <w:pStyle w:val="ListParagraph"/>
        <w:numPr>
          <w:ilvl w:val="0"/>
          <w:numId w:val="2"/>
        </w:numPr>
        <w:spacing w:before="60" w:after="60"/>
      </w:pPr>
      <w:r>
        <w:rPr>
          <w:rFonts w:ascii="Arial" w:cs="Arial" w:eastAsia="Arial" w:hAnsi="Arial"/>
          <w:color w:val="1A1A1A"/>
          <w:sz w:val="22"/>
          <w:szCs w:val="22"/>
        </w:rPr>
        <w:t xml:space="preserve">Employee tenure distribution — Histogram</w:t>
      </w:r>
    </w:p>
    <w:p>
      <w:pPr>
        <w:pStyle w:val="ListParagraph"/>
        <w:numPr>
          <w:ilvl w:val="0"/>
          <w:numId w:val="2"/>
        </w:numPr>
        <w:spacing w:before="60" w:after="60"/>
      </w:pPr>
      <w:r>
        <w:rPr>
          <w:rFonts w:ascii="Arial" w:cs="Arial" w:eastAsia="Arial" w:hAnsi="Arial"/>
          <w:color w:val="1A1A1A"/>
          <w:sz w:val="22"/>
          <w:szCs w:val="22"/>
        </w:rPr>
        <w:t xml:space="preserve">Employee reporting structure — Org hierarchy</w:t>
      </w:r>
    </w:p>
    <w:p>
      <w:pPr>
        <w:pStyle w:val="ListParagraph"/>
        <w:numPr>
          <w:ilvl w:val="0"/>
          <w:numId w:val="2"/>
        </w:numPr>
        <w:spacing w:before="60" w:after="60"/>
      </w:pPr>
      <w:r>
        <w:rPr>
          <w:rFonts w:ascii="Arial" w:cs="Arial" w:eastAsia="Arial" w:hAnsi="Arial"/>
          <w:color w:val="1A1A1A"/>
          <w:sz w:val="22"/>
          <w:szCs w:val="22"/>
        </w:rPr>
        <w:t xml:space="preserve">Highest sales volume products — Bar chart</w:t>
      </w:r>
    </w:p>
    <w:p>
      <w:pPr>
        <w:pStyle w:val="ListParagraph"/>
        <w:numPr>
          <w:ilvl w:val="0"/>
          <w:numId w:val="2"/>
        </w:numPr>
        <w:spacing w:before="60" w:after="60"/>
      </w:pPr>
      <w:r>
        <w:rPr>
          <w:rFonts w:ascii="Arial" w:cs="Arial" w:eastAsia="Arial" w:hAnsi="Arial"/>
          <w:color w:val="1A1A1A"/>
          <w:sz w:val="22"/>
          <w:szCs w:val="22"/>
        </w:rPr>
        <w:t xml:space="preserve">Sales volume by product category — Bar chart</w:t>
      </w:r>
    </w:p>
    <w:p>
      <w:pPr>
        <w:pStyle w:val="ListParagraph"/>
        <w:numPr>
          <w:ilvl w:val="0"/>
          <w:numId w:val="2"/>
        </w:numPr>
        <w:spacing w:before="60" w:after="60"/>
      </w:pPr>
      <w:r>
        <w:rPr>
          <w:rFonts w:ascii="Arial" w:cs="Arial" w:eastAsia="Arial" w:hAnsi="Arial"/>
          <w:color w:val="1A1A1A"/>
          <w:sz w:val="22"/>
          <w:szCs w:val="22"/>
        </w:rPr>
        <w:t xml:space="preserve">Product pricing distribution — Scatter/histogram</w:t>
      </w:r>
    </w:p>
    <w:p>
      <w:pPr>
        <w:pStyle w:val="ListParagraph"/>
        <w:numPr>
          <w:ilvl w:val="0"/>
          <w:numId w:val="2"/>
        </w:numPr>
        <w:spacing w:before="60" w:after="60"/>
      </w:pPr>
      <w:r>
        <w:rPr>
          <w:rFonts w:ascii="Arial" w:cs="Arial" w:eastAsia="Arial" w:hAnsi="Arial"/>
          <w:color w:val="1A1A1A"/>
          <w:sz w:val="22"/>
          <w:szCs w:val="22"/>
        </w:rPr>
        <w:t xml:space="preserve">Products per supplier — Bar chart</w:t>
      </w:r>
    </w:p>
    <w:p>
      <w:pPr>
        <w:pStyle w:val="ListParagraph"/>
        <w:numPr>
          <w:ilvl w:val="0"/>
          <w:numId w:val="2"/>
        </w:numPr>
        <w:spacing w:before="60" w:after="60"/>
      </w:pPr>
      <w:r>
        <w:rPr>
          <w:rFonts w:ascii="Arial" w:cs="Arial" w:eastAsia="Arial" w:hAnsi="Arial"/>
          <w:color w:val="1A1A1A"/>
          <w:sz w:val="22"/>
          <w:szCs w:val="22"/>
        </w:rPr>
        <w:t xml:space="preserve">Product pricing across suppliers — Bar chart</w:t>
      </w:r>
    </w:p>
    <w:p>
      <w:pPr>
        <w:pStyle w:val="ListParagraph"/>
        <w:numPr>
          <w:ilvl w:val="0"/>
          <w:numId w:val="2"/>
        </w:numPr>
        <w:spacing w:before="60" w:after="60"/>
      </w:pPr>
      <w:r>
        <w:rPr>
          <w:rFonts w:ascii="Arial" w:cs="Arial" w:eastAsia="Arial" w:hAnsi="Arial"/>
          <w:color w:val="1A1A1A"/>
          <w:sz w:val="22"/>
          <w:szCs w:val="22"/>
        </w:rPr>
        <w:t xml:space="preserve">Geographical distribution of suppliers — Map</w:t>
      </w:r>
    </w:p>
    <w:p>
      <w:pPr>
        <w:spacing w:before="100" w:after="100"/>
      </w:pPr>
      <w:r>
        <w:t xml:space="preserve"/>
      </w:r>
    </w:p>
    <w:p>
      <w:pPr>
        <w:pStyle w:val="Heading1"/>
        <w:pBdr>
          <w:bottom w:val="single" w:color="B8860B" w:sz="4" w:space="4"/>
        </w:pBdr>
        <w:spacing w:before="400" w:after="160"/>
      </w:pPr>
      <w:r>
        <w:rPr>
          <w:rFonts w:ascii="Arial" w:cs="Arial" w:eastAsia="Arial" w:hAnsi="Arial"/>
          <w:b/>
          <w:bCs/>
          <w:color w:val="B8860B"/>
          <w:sz w:val="32"/>
          <w:szCs w:val="32"/>
        </w:rPr>
        <w:t xml:space="preserve">3. Dataset Description</w:t>
      </w:r>
    </w:p>
    <w:p>
      <w:pPr>
        <w:spacing w:before="80" w:after="80"/>
      </w:pPr>
      <w:r>
        <w:rPr>
          <w:rFonts w:ascii="Arial" w:cs="Arial" w:eastAsia="Arial" w:hAnsi="Arial"/>
          <w:color w:val="1A1A1A"/>
          <w:sz w:val="22"/>
          <w:szCs w:val="22"/>
        </w:rPr>
        <w:t xml:space="preserve">The Northwind database consists of 8 interrelated tables. The data model follows a star/snowflake schema with order_details as the central fact table.</w:t>
      </w:r>
    </w:p>
    <w:p>
      <w:pPr>
        <w:pStyle w:val="Heading2"/>
        <w:spacing w:before="280" w:after="100"/>
      </w:pPr>
      <w:r>
        <w:rPr>
          <w:rFonts w:ascii="Arial" w:cs="Arial" w:eastAsia="Arial" w:hAnsi="Arial"/>
          <w:b/>
          <w:bCs/>
          <w:color w:val="2C2C2C"/>
          <w:sz w:val="26"/>
          <w:szCs w:val="26"/>
        </w:rPr>
        <w:t xml:space="preserve">3.1 Table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58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color w:val="FFFFFF"/>
                <w:sz w:val="20"/>
                <w:szCs w:val="20"/>
              </w:rPr>
              <w:t xml:space="preserve">Key Fields / 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CustomerID, CompanyName, ContactTitle, City, Country — 91 customers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OrderID, CustomerID, EmployeeID, OrderDate, ShippedDate — 830 orders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order_details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OrderID, ProductID, UnitPrice, Quantity, Discount — Revenue fact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ProductID, ProductName, SupplierID, CategoryID, UnitPrice — 77 products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categories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CategoryID, CategoryName — 8 product categories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EmployeeID, Title, HireDate, ReportsTo — 9 employees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suppliers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SupplierID, CompanyName, Country, City — 29 suppliers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shippers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ShipperID, CompanyName — 3 shipping partners</w:t>
            </w:r>
          </w:p>
        </w:tc>
      </w:tr>
    </w:tbl>
    <w:p>
      <w:pPr>
        <w:spacing w:before="100" w:after="100"/>
      </w:pPr>
      <w:r>
        <w:t xml:space="preserve"/>
      </w:r>
    </w:p>
    <w:p>
      <w:pPr>
        <w:pStyle w:val="Heading2"/>
        <w:spacing w:before="280" w:after="100"/>
      </w:pPr>
      <w:r>
        <w:rPr>
          <w:rFonts w:ascii="Arial" w:cs="Arial" w:eastAsia="Arial" w:hAnsi="Arial"/>
          <w:b/>
          <w:bCs/>
          <w:color w:val="2C2C2C"/>
          <w:sz w:val="26"/>
          <w:szCs w:val="26"/>
        </w:rPr>
        <w:t xml:space="preserve">3.2 Key Relationships</w:t>
      </w:r>
    </w:p>
    <w:p>
      <w:pPr>
        <w:pStyle w:val="ListParagraph"/>
        <w:numPr>
          <w:ilvl w:val="0"/>
          <w:numId w:val="2"/>
        </w:numPr>
        <w:spacing w:before="60" w:after="60"/>
      </w:pPr>
      <w:r>
        <w:rPr>
          <w:rFonts w:ascii="Arial" w:cs="Arial" w:eastAsia="Arial" w:hAnsi="Arial"/>
          <w:color w:val="1A1A1A"/>
          <w:sz w:val="22"/>
          <w:szCs w:val="22"/>
        </w:rPr>
        <w:t xml:space="preserve">customers → orders: One-to-many via CustomerID</w:t>
      </w:r>
    </w:p>
    <w:p>
      <w:pPr>
        <w:pStyle w:val="ListParagraph"/>
        <w:numPr>
          <w:ilvl w:val="0"/>
          <w:numId w:val="2"/>
        </w:numPr>
        <w:spacing w:before="60" w:after="60"/>
      </w:pPr>
      <w:r>
        <w:rPr>
          <w:rFonts w:ascii="Arial" w:cs="Arial" w:eastAsia="Arial" w:hAnsi="Arial"/>
          <w:color w:val="1A1A1A"/>
          <w:sz w:val="22"/>
          <w:szCs w:val="22"/>
        </w:rPr>
        <w:t xml:space="preserve">orders → order_details: One-to-many via OrderID</w:t>
      </w:r>
    </w:p>
    <w:p>
      <w:pPr>
        <w:pStyle w:val="ListParagraph"/>
        <w:numPr>
          <w:ilvl w:val="0"/>
          <w:numId w:val="2"/>
        </w:numPr>
        <w:spacing w:before="60" w:after="60"/>
      </w:pPr>
      <w:r>
        <w:rPr>
          <w:rFonts w:ascii="Arial" w:cs="Arial" w:eastAsia="Arial" w:hAnsi="Arial"/>
          <w:color w:val="1A1A1A"/>
          <w:sz w:val="22"/>
          <w:szCs w:val="22"/>
        </w:rPr>
        <w:t xml:space="preserve">products → order_details: One-to-many via ProductID</w:t>
      </w:r>
    </w:p>
    <w:p>
      <w:pPr>
        <w:pStyle w:val="ListParagraph"/>
        <w:numPr>
          <w:ilvl w:val="0"/>
          <w:numId w:val="2"/>
        </w:numPr>
        <w:spacing w:before="60" w:after="60"/>
      </w:pPr>
      <w:r>
        <w:rPr>
          <w:rFonts w:ascii="Arial" w:cs="Arial" w:eastAsia="Arial" w:hAnsi="Arial"/>
          <w:color w:val="1A1A1A"/>
          <w:sz w:val="22"/>
          <w:szCs w:val="22"/>
        </w:rPr>
        <w:t xml:space="preserve">categories → products: One-to-many via CategoryID</w:t>
      </w:r>
    </w:p>
    <w:p>
      <w:pPr>
        <w:pStyle w:val="ListParagraph"/>
        <w:numPr>
          <w:ilvl w:val="0"/>
          <w:numId w:val="2"/>
        </w:numPr>
        <w:spacing w:before="60" w:after="60"/>
      </w:pPr>
      <w:r>
        <w:rPr>
          <w:rFonts w:ascii="Arial" w:cs="Arial" w:eastAsia="Arial" w:hAnsi="Arial"/>
          <w:color w:val="1A1A1A"/>
          <w:sz w:val="22"/>
          <w:szCs w:val="22"/>
        </w:rPr>
        <w:t xml:space="preserve">suppliers → products: One-to-many via SupplierID</w:t>
      </w:r>
    </w:p>
    <w:p>
      <w:pPr>
        <w:pStyle w:val="ListParagraph"/>
        <w:numPr>
          <w:ilvl w:val="0"/>
          <w:numId w:val="2"/>
        </w:numPr>
        <w:spacing w:before="60" w:after="60"/>
      </w:pPr>
      <w:r>
        <w:rPr>
          <w:rFonts w:ascii="Arial" w:cs="Arial" w:eastAsia="Arial" w:hAnsi="Arial"/>
          <w:color w:val="1A1A1A"/>
          <w:sz w:val="22"/>
          <w:szCs w:val="22"/>
        </w:rPr>
        <w:t xml:space="preserve">employees → orders: One-to-many via EmployeeID</w:t>
      </w:r>
    </w:p>
    <w:p>
      <w:pPr>
        <w:pStyle w:val="ListParagraph"/>
        <w:numPr>
          <w:ilvl w:val="0"/>
          <w:numId w:val="2"/>
        </w:numPr>
        <w:spacing w:before="60" w:after="60"/>
      </w:pPr>
      <w:r>
        <w:rPr>
          <w:rFonts w:ascii="Arial" w:cs="Arial" w:eastAsia="Arial" w:hAnsi="Arial"/>
          <w:color w:val="1A1A1A"/>
          <w:sz w:val="22"/>
          <w:szCs w:val="22"/>
        </w:rPr>
        <w:t xml:space="preserve">employees → employees: Self-referencing via ReportsTo (org hierarchy)</w:t>
      </w:r>
    </w:p>
    <w:p>
      <w:pPr>
        <w:pStyle w:val="ListParagraph"/>
        <w:numPr>
          <w:ilvl w:val="0"/>
          <w:numId w:val="2"/>
        </w:numPr>
        <w:spacing w:before="60" w:after="60"/>
      </w:pPr>
      <w:r>
        <w:rPr>
          <w:rFonts w:ascii="Arial" w:cs="Arial" w:eastAsia="Arial" w:hAnsi="Arial"/>
          <w:color w:val="1A1A1A"/>
          <w:sz w:val="22"/>
          <w:szCs w:val="22"/>
        </w:rPr>
        <w:t xml:space="preserve">shippers → orders: One-to-many via ShipVia</w:t>
      </w:r>
    </w:p>
    <w:p>
      <w:pPr>
        <w:pStyle w:val="Heading2"/>
        <w:spacing w:before="280" w:after="100"/>
      </w:pPr>
      <w:r>
        <w:rPr>
          <w:rFonts w:ascii="Arial" w:cs="Arial" w:eastAsia="Arial" w:hAnsi="Arial"/>
          <w:b/>
          <w:bCs/>
          <w:color w:val="2C2C2C"/>
          <w:sz w:val="26"/>
          <w:szCs w:val="26"/>
        </w:rPr>
        <w:t xml:space="preserve">3.3 Derived / Computed Fields</w:t>
      </w:r>
    </w:p>
    <w:p>
      <w:pPr>
        <w:pStyle w:val="ListParagraph"/>
        <w:numPr>
          <w:ilvl w:val="0"/>
          <w:numId w:val="2"/>
        </w:numPr>
        <w:spacing w:before="60" w:after="60"/>
      </w:pPr>
      <w:r>
        <w:rPr>
          <w:rFonts w:ascii="Arial" w:cs="Arial" w:eastAsia="Arial" w:hAnsi="Arial"/>
          <w:b/>
          <w:bCs/>
          <w:color w:val="1A1A1A"/>
          <w:sz w:val="22"/>
          <w:szCs w:val="22"/>
        </w:rPr>
        <w:t xml:space="preserve">Revenue: </w:t>
      </w:r>
      <w:r>
        <w:rPr>
          <w:rFonts w:ascii="Arial" w:cs="Arial" w:eastAsia="Arial" w:hAnsi="Arial"/>
          <w:color w:val="1A1A1A"/>
          <w:sz w:val="22"/>
          <w:szCs w:val="22"/>
        </w:rPr>
        <w:t xml:space="preserve">UnitPrice × Quantity × (1 - Discount)</w:t>
      </w:r>
    </w:p>
    <w:p>
      <w:pPr>
        <w:pStyle w:val="ListParagraph"/>
        <w:numPr>
          <w:ilvl w:val="0"/>
          <w:numId w:val="2"/>
        </w:numPr>
        <w:spacing w:before="60" w:after="60"/>
      </w:pPr>
      <w:r>
        <w:rPr>
          <w:rFonts w:ascii="Arial" w:cs="Arial" w:eastAsia="Arial" w:hAnsi="Arial"/>
          <w:b/>
          <w:bCs/>
          <w:color w:val="1A1A1A"/>
          <w:sz w:val="22"/>
          <w:szCs w:val="22"/>
        </w:rPr>
        <w:t xml:space="preserve">Shipping Duration: </w:t>
      </w:r>
      <w:r>
        <w:rPr>
          <w:rFonts w:ascii="Arial" w:cs="Arial" w:eastAsia="Arial" w:hAnsi="Arial"/>
          <w:color w:val="1A1A1A"/>
          <w:sz w:val="22"/>
          <w:szCs w:val="22"/>
        </w:rPr>
        <w:t xml:space="preserve">ShippedDate - OrderDate</w:t>
      </w:r>
    </w:p>
    <w:p>
      <w:pPr>
        <w:pStyle w:val="ListParagraph"/>
        <w:numPr>
          <w:ilvl w:val="0"/>
          <w:numId w:val="2"/>
        </w:numPr>
        <w:spacing w:before="60" w:after="60"/>
      </w:pPr>
      <w:r>
        <w:rPr>
          <w:rFonts w:ascii="Arial" w:cs="Arial" w:eastAsia="Arial" w:hAnsi="Arial"/>
          <w:b/>
          <w:bCs/>
          <w:color w:val="1A1A1A"/>
          <w:sz w:val="22"/>
          <w:szCs w:val="22"/>
        </w:rPr>
        <w:t xml:space="preserve">Employee Tenure: </w:t>
      </w:r>
      <w:r>
        <w:rPr>
          <w:rFonts w:ascii="Arial" w:cs="Arial" w:eastAsia="Arial" w:hAnsi="Arial"/>
          <w:color w:val="1A1A1A"/>
          <w:sz w:val="22"/>
          <w:szCs w:val="22"/>
        </w:rPr>
        <w:t xml:space="preserve">Calculated from HireDate</w:t>
      </w:r>
    </w:p>
    <w:p>
      <w:pPr>
        <w:pStyle w:val="ListParagraph"/>
        <w:numPr>
          <w:ilvl w:val="0"/>
          <w:numId w:val="2"/>
        </w:numPr>
        <w:spacing w:before="60" w:after="60"/>
      </w:pPr>
      <w:r>
        <w:rPr>
          <w:rFonts w:ascii="Arial" w:cs="Arial" w:eastAsia="Arial" w:hAnsi="Arial"/>
          <w:b/>
          <w:bCs/>
          <w:color w:val="1A1A1A"/>
          <w:sz w:val="22"/>
          <w:szCs w:val="22"/>
        </w:rPr>
        <w:t xml:space="preserve">Order Value Bin: </w:t>
      </w:r>
      <w:r>
        <w:rPr>
          <w:rFonts w:ascii="Arial" w:cs="Arial" w:eastAsia="Arial" w:hAnsi="Arial"/>
          <w:color w:val="1A1A1A"/>
          <w:sz w:val="22"/>
          <w:szCs w:val="22"/>
        </w:rPr>
        <w:t xml:space="preserve">Categorised: 0–500, 501–1K, 1K–2.5K, 2.5K–5K, 5K–10K, 10K+</w:t>
      </w:r>
    </w:p>
    <w:p>
      <w:pPr>
        <w:pStyle w:val="ListParagraph"/>
        <w:numPr>
          <w:ilvl w:val="0"/>
          <w:numId w:val="2"/>
        </w:numPr>
        <w:spacing w:before="60" w:after="60"/>
      </w:pPr>
      <w:r>
        <w:rPr>
          <w:rFonts w:ascii="Arial" w:cs="Arial" w:eastAsia="Arial" w:hAnsi="Arial"/>
          <w:b/>
          <w:bCs/>
          <w:color w:val="1A1A1A"/>
          <w:sz w:val="22"/>
          <w:szCs w:val="22"/>
        </w:rPr>
        <w:t xml:space="preserve">Price Bin: </w:t>
      </w:r>
      <w:r>
        <w:rPr>
          <w:rFonts w:ascii="Arial" w:cs="Arial" w:eastAsia="Arial" w:hAnsi="Arial"/>
          <w:color w:val="1A1A1A"/>
          <w:sz w:val="22"/>
          <w:szCs w:val="22"/>
        </w:rPr>
        <w:t xml:space="preserve">Product price tiers: 0–10, 11–25, 26–50, 51–100, 100+</w:t>
      </w:r>
    </w:p>
    <w:p>
      <w:pPr>
        <w:pStyle w:val="ListParagraph"/>
        <w:numPr>
          <w:ilvl w:val="0"/>
          <w:numId w:val="2"/>
        </w:numPr>
        <w:spacing w:before="60" w:after="60"/>
      </w:pPr>
      <w:r>
        <w:rPr>
          <w:rFonts w:ascii="Arial" w:cs="Arial" w:eastAsia="Arial" w:hAnsi="Arial"/>
          <w:b/>
          <w:bCs/>
          <w:color w:val="1A1A1A"/>
          <w:sz w:val="22"/>
          <w:szCs w:val="22"/>
        </w:rPr>
        <w:t xml:space="preserve">Delivery Status: </w:t>
      </w:r>
      <w:r>
        <w:rPr>
          <w:rFonts w:ascii="Arial" w:cs="Arial" w:eastAsia="Arial" w:hAnsi="Arial"/>
          <w:color w:val="1A1A1A"/>
          <w:sz w:val="22"/>
          <w:szCs w:val="22"/>
        </w:rPr>
        <w:t xml:space="preserve">Derived from ShippedDate vs RequiredDate</w:t>
      </w:r>
    </w:p>
    <w:p>
      <w:pPr>
        <w:spacing w:before="100" w:after="100"/>
      </w:pPr>
      <w:r>
        <w:t xml:space="preserve"/>
      </w:r>
    </w:p>
    <w:p>
      <w:pPr>
        <w:pStyle w:val="Heading1"/>
        <w:pBdr>
          <w:bottom w:val="single" w:color="B8860B" w:sz="4" w:space="4"/>
        </w:pBdr>
        <w:spacing w:before="400" w:after="160"/>
      </w:pPr>
      <w:r>
        <w:rPr>
          <w:rFonts w:ascii="Arial" w:cs="Arial" w:eastAsia="Arial" w:hAnsi="Arial"/>
          <w:b/>
          <w:bCs/>
          <w:color w:val="B8860B"/>
          <w:sz w:val="32"/>
          <w:szCs w:val="32"/>
        </w:rPr>
        <w:t xml:space="preserve">4. Data Cleaning &amp; Preprocessing</w:t>
      </w:r>
    </w:p>
    <w:p>
      <w:pPr>
        <w:pStyle w:val="Heading2"/>
        <w:spacing w:before="280" w:after="100"/>
      </w:pPr>
      <w:r>
        <w:rPr>
          <w:rFonts w:ascii="Arial" w:cs="Arial" w:eastAsia="Arial" w:hAnsi="Arial"/>
          <w:b/>
          <w:bCs/>
          <w:color w:val="2C2C2C"/>
          <w:sz w:val="26"/>
          <w:szCs w:val="26"/>
        </w:rPr>
        <w:t xml:space="preserve">4.1 Column Exclusions</w:t>
      </w:r>
    </w:p>
    <w:p>
      <w:pPr>
        <w:pStyle w:val="ListParagraph"/>
        <w:numPr>
          <w:ilvl w:val="0"/>
          <w:numId w:val="2"/>
        </w:numPr>
        <w:spacing w:before="60" w:after="60"/>
      </w:pPr>
      <w:r>
        <w:rPr>
          <w:rFonts w:ascii="Arial" w:cs="Arial" w:eastAsia="Arial" w:hAnsi="Arial"/>
          <w:b/>
          <w:bCs/>
          <w:color w:val="1A1A1A"/>
          <w:sz w:val="22"/>
          <w:szCs w:val="22"/>
        </w:rPr>
        <w:t xml:space="preserve">categories.Picture: </w:t>
      </w:r>
      <w:r>
        <w:rPr>
          <w:rFonts w:ascii="Arial" w:cs="Arial" w:eastAsia="Arial" w:hAnsi="Arial"/>
          <w:color w:val="1A1A1A"/>
          <w:sz w:val="22"/>
          <w:szCs w:val="22"/>
        </w:rPr>
        <w:t xml:space="preserve">Binary BLOB — excluded</w:t>
      </w:r>
    </w:p>
    <w:p>
      <w:pPr>
        <w:pStyle w:val="ListParagraph"/>
        <w:numPr>
          <w:ilvl w:val="0"/>
          <w:numId w:val="2"/>
        </w:numPr>
        <w:spacing w:before="60" w:after="60"/>
      </w:pPr>
      <w:r>
        <w:rPr>
          <w:rFonts w:ascii="Arial" w:cs="Arial" w:eastAsia="Arial" w:hAnsi="Arial"/>
          <w:b/>
          <w:bCs/>
          <w:color w:val="1A1A1A"/>
          <w:sz w:val="22"/>
          <w:szCs w:val="22"/>
        </w:rPr>
        <w:t xml:space="preserve">employees.Photo: </w:t>
      </w:r>
      <w:r>
        <w:rPr>
          <w:rFonts w:ascii="Arial" w:cs="Arial" w:eastAsia="Arial" w:hAnsi="Arial"/>
          <w:color w:val="1A1A1A"/>
          <w:sz w:val="22"/>
          <w:szCs w:val="22"/>
        </w:rPr>
        <w:t xml:space="preserve">Binary BLOB — excluded</w:t>
      </w:r>
    </w:p>
    <w:p>
      <w:pPr>
        <w:pStyle w:val="ListParagraph"/>
        <w:numPr>
          <w:ilvl w:val="0"/>
          <w:numId w:val="2"/>
        </w:numPr>
        <w:spacing w:before="60" w:after="60"/>
      </w:pPr>
      <w:r>
        <w:rPr>
          <w:rFonts w:ascii="Arial" w:cs="Arial" w:eastAsia="Arial" w:hAnsi="Arial"/>
          <w:b/>
          <w:bCs/>
          <w:color w:val="1A1A1A"/>
          <w:sz w:val="22"/>
          <w:szCs w:val="22"/>
        </w:rPr>
        <w:t xml:space="preserve">customers.Image / ImageThumbnail: </w:t>
      </w:r>
      <w:r>
        <w:rPr>
          <w:rFonts w:ascii="Arial" w:cs="Arial" w:eastAsia="Arial" w:hAnsi="Arial"/>
          <w:color w:val="1A1A1A"/>
          <w:sz w:val="22"/>
          <w:szCs w:val="22"/>
        </w:rPr>
        <w:t xml:space="preserve">Binary — dropped before load</w:t>
      </w:r>
    </w:p>
    <w:p>
      <w:pPr>
        <w:pStyle w:val="Heading2"/>
        <w:spacing w:before="280" w:after="100"/>
      </w:pPr>
      <w:r>
        <w:rPr>
          <w:rFonts w:ascii="Arial" w:cs="Arial" w:eastAsia="Arial" w:hAnsi="Arial"/>
          <w:b/>
          <w:bCs/>
          <w:color w:val="2C2C2C"/>
          <w:sz w:val="26"/>
          <w:szCs w:val="26"/>
        </w:rPr>
        <w:t xml:space="preserve">4.2 Null Handling</w:t>
      </w:r>
    </w:p>
    <w:p>
      <w:pPr>
        <w:pStyle w:val="ListParagraph"/>
        <w:numPr>
          <w:ilvl w:val="0"/>
          <w:numId w:val="2"/>
        </w:numPr>
        <w:spacing w:before="60" w:after="60"/>
      </w:pPr>
      <w:r>
        <w:rPr>
          <w:rFonts w:ascii="Arial" w:cs="Arial" w:eastAsia="Arial" w:hAnsi="Arial"/>
          <w:b/>
          <w:bCs/>
          <w:color w:val="1A1A1A"/>
          <w:sz w:val="22"/>
          <w:szCs w:val="22"/>
        </w:rPr>
        <w:t xml:space="preserve">orders.ShippedDate: </w:t>
      </w:r>
      <w:r>
        <w:rPr>
          <w:rFonts w:ascii="Arial" w:cs="Arial" w:eastAsia="Arial" w:hAnsi="Arial"/>
          <w:color w:val="1A1A1A"/>
          <w:sz w:val="22"/>
          <w:szCs w:val="22"/>
        </w:rPr>
        <w:t xml:space="preserve">NULL orders excluded from shipping duration calculations</w:t>
      </w:r>
    </w:p>
    <w:p>
      <w:pPr>
        <w:pStyle w:val="ListParagraph"/>
        <w:numPr>
          <w:ilvl w:val="0"/>
          <w:numId w:val="2"/>
        </w:numPr>
        <w:spacing w:before="60" w:after="60"/>
      </w:pPr>
      <w:r>
        <w:rPr>
          <w:rFonts w:ascii="Arial" w:cs="Arial" w:eastAsia="Arial" w:hAnsi="Arial"/>
          <w:b/>
          <w:bCs/>
          <w:color w:val="1A1A1A"/>
          <w:sz w:val="22"/>
          <w:szCs w:val="22"/>
        </w:rPr>
        <w:t xml:space="preserve">employees.ReportsTo: </w:t>
      </w:r>
      <w:r>
        <w:rPr>
          <w:rFonts w:ascii="Arial" w:cs="Arial" w:eastAsia="Arial" w:hAnsi="Arial"/>
          <w:color w:val="1A1A1A"/>
          <w:sz w:val="22"/>
          <w:szCs w:val="22"/>
        </w:rPr>
        <w:t xml:space="preserve">NULL for root manager (Andrew Fuller) — treated as hierarchy root</w:t>
      </w:r>
    </w:p>
    <w:p>
      <w:pPr>
        <w:pStyle w:val="ListParagraph"/>
        <w:numPr>
          <w:ilvl w:val="0"/>
          <w:numId w:val="2"/>
        </w:numPr>
        <w:spacing w:before="60" w:after="60"/>
      </w:pPr>
      <w:r>
        <w:rPr>
          <w:rFonts w:ascii="Arial" w:cs="Arial" w:eastAsia="Arial" w:hAnsi="Arial"/>
          <w:b/>
          <w:bCs/>
          <w:color w:val="1A1A1A"/>
          <w:sz w:val="22"/>
          <w:szCs w:val="22"/>
        </w:rPr>
        <w:t xml:space="preserve">customers.Region: </w:t>
      </w:r>
      <w:r>
        <w:rPr>
          <w:rFonts w:ascii="Arial" w:cs="Arial" w:eastAsia="Arial" w:hAnsi="Arial"/>
          <w:color w:val="1A1A1A"/>
          <w:sz w:val="22"/>
          <w:szCs w:val="22"/>
        </w:rPr>
        <w:t xml:space="preserve">Sparse — not used as primary grouping dimension</w:t>
      </w:r>
    </w:p>
    <w:p>
      <w:pPr>
        <w:pStyle w:val="Heading2"/>
        <w:spacing w:before="280" w:after="100"/>
      </w:pPr>
      <w:r>
        <w:rPr>
          <w:rFonts w:ascii="Arial" w:cs="Arial" w:eastAsia="Arial" w:hAnsi="Arial"/>
          <w:b/>
          <w:bCs/>
          <w:color w:val="2C2C2C"/>
          <w:sz w:val="26"/>
          <w:szCs w:val="26"/>
        </w:rPr>
        <w:t xml:space="preserve">4.3 Power BI Data Model Enhancements</w:t>
      </w:r>
    </w:p>
    <w:p>
      <w:pPr>
        <w:pStyle w:val="ListParagraph"/>
        <w:numPr>
          <w:ilvl w:val="0"/>
          <w:numId w:val="2"/>
        </w:numPr>
        <w:spacing w:before="60" w:after="60"/>
      </w:pPr>
      <w:r>
        <w:rPr>
          <w:rFonts w:ascii="Arial" w:cs="Arial" w:eastAsia="Arial" w:hAnsi="Arial"/>
          <w:color w:val="1A1A1A"/>
          <w:sz w:val="22"/>
          <w:szCs w:val="22"/>
        </w:rPr>
        <w:t xml:space="preserve">DateTable created with Date, MonthName, MonthNum, Quarter, Year fields</w:t>
      </w:r>
    </w:p>
    <w:p>
      <w:pPr>
        <w:pStyle w:val="ListParagraph"/>
        <w:numPr>
          <w:ilvl w:val="0"/>
          <w:numId w:val="2"/>
        </w:numPr>
        <w:spacing w:before="60" w:after="60"/>
      </w:pPr>
      <w:r>
        <w:rPr>
          <w:rFonts w:ascii="Arial" w:cs="Arial" w:eastAsia="Arial" w:hAnsi="Arial"/>
          <w:color w:val="1A1A1A"/>
          <w:sz w:val="22"/>
          <w:szCs w:val="22"/>
        </w:rPr>
        <w:t xml:space="preserve">Revenue DAX measure: SUM(UnitPrice × Quantity × (1 − Discount))</w:t>
      </w:r>
    </w:p>
    <w:p>
      <w:pPr>
        <w:pStyle w:val="ListParagraph"/>
        <w:numPr>
          <w:ilvl w:val="0"/>
          <w:numId w:val="2"/>
        </w:numPr>
        <w:spacing w:before="60" w:after="60"/>
      </w:pPr>
      <w:r>
        <w:rPr>
          <w:rFonts w:ascii="Arial" w:cs="Arial" w:eastAsia="Arial" w:hAnsi="Arial"/>
          <w:color w:val="1A1A1A"/>
          <w:sz w:val="22"/>
          <w:szCs w:val="22"/>
        </w:rPr>
        <w:t xml:space="preserve">ContactTitle grouped into ContactTitle (groups) for cleaner segmentation</w:t>
      </w:r>
    </w:p>
    <w:p>
      <w:pPr>
        <w:pStyle w:val="ListParagraph"/>
        <w:numPr>
          <w:ilvl w:val="0"/>
          <w:numId w:val="2"/>
        </w:numPr>
        <w:spacing w:before="60" w:after="60"/>
      </w:pPr>
      <w:r>
        <w:rPr>
          <w:rFonts w:ascii="Arial" w:cs="Arial" w:eastAsia="Arial" w:hAnsi="Arial"/>
          <w:color w:val="1A1A1A"/>
          <w:sz w:val="22"/>
          <w:szCs w:val="22"/>
        </w:rPr>
        <w:t xml:space="preserve">Order Value Bin and Price Bin calculated columns added</w:t>
      </w:r>
    </w:p>
    <w:p>
      <w:pPr>
        <w:pStyle w:val="ListParagraph"/>
        <w:numPr>
          <w:ilvl w:val="0"/>
          <w:numId w:val="2"/>
        </w:numPr>
        <w:spacing w:before="60" w:after="60"/>
      </w:pPr>
      <w:r>
        <w:rPr>
          <w:rFonts w:ascii="Arial" w:cs="Arial" w:eastAsia="Arial" w:hAnsi="Arial"/>
          <w:color w:val="1A1A1A"/>
          <w:sz w:val="22"/>
          <w:szCs w:val="22"/>
        </w:rPr>
        <w:t xml:space="preserve">FullName column concatenated in employees table</w:t>
      </w:r>
    </w:p>
    <w:p>
      <w:pPr>
        <w:pStyle w:val="ListParagraph"/>
        <w:numPr>
          <w:ilvl w:val="0"/>
          <w:numId w:val="2"/>
        </w:numPr>
        <w:spacing w:before="60" w:after="60"/>
      </w:pPr>
      <w:r>
        <w:rPr>
          <w:rFonts w:ascii="Arial" w:cs="Arial" w:eastAsia="Arial" w:hAnsi="Arial"/>
          <w:color w:val="1A1A1A"/>
          <w:sz w:val="22"/>
          <w:szCs w:val="22"/>
        </w:rPr>
        <w:t xml:space="preserve">DelDelivery Status field derived in orders table</w:t>
      </w:r>
    </w:p>
    <w:p>
      <w:pPr>
        <w:pStyle w:val="Heading2"/>
        <w:spacing w:before="280" w:after="100"/>
      </w:pPr>
      <w:r>
        <w:rPr>
          <w:rFonts w:ascii="Arial" w:cs="Arial" w:eastAsia="Arial" w:hAnsi="Arial"/>
          <w:b/>
          <w:bCs/>
          <w:color w:val="2C2C2C"/>
          <w:sz w:val="26"/>
          <w:szCs w:val="26"/>
        </w:rPr>
        <w:t xml:space="preserve">4.4 DAX Measures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5860"/>
            <w:tcBorders>
              <w:top w:val="single" w:color="CCCCCC" w:sz="1"/>
              <w:left w:val="single" w:color="CCCCCC" w:sz="1"/>
              <w:bottom w:val="single" w:color="CCCCCC" w:sz="1"/>
              <w:right w:val="single" w:color="CCCCCC" w:sz="1"/>
            </w:tcBorders>
            <w:shd w:fill="8B6914"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Revenue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 of Revenue across all order_details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Orders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DISTINCTCOUNT of OrderID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Customers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DISTINCTCOUNT of CustomerID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Avg Order Value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Revenue / Total Orders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Avg Product Price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AVERAGE of UnitPrice in products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Avg Tenure Years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Average years from HireDate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Category Revenue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per category as % of Total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per Employee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Revenue / Total Employees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Quantity Sold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 of Quantity in order_details</w:t>
            </w:r>
          </w:p>
        </w:tc>
      </w:tr>
    </w:tbl>
    <w:p>
      <w:pPr>
        <w:spacing w:before="100" w:after="100"/>
      </w:pPr>
      <w:r>
        <w:t xml:space="preserve"/>
      </w:r>
    </w:p>
    <w:p>
      <w:pPr>
        <w:pStyle w:val="Heading1"/>
        <w:pBdr>
          <w:bottom w:val="single" w:color="B8860B" w:sz="4" w:space="4"/>
        </w:pBdr>
        <w:spacing w:before="400" w:after="160"/>
      </w:pPr>
      <w:r>
        <w:rPr>
          <w:rFonts w:ascii="Arial" w:cs="Arial" w:eastAsia="Arial" w:hAnsi="Arial"/>
          <w:b/>
          <w:bCs/>
          <w:color w:val="B8860B"/>
          <w:sz w:val="32"/>
          <w:szCs w:val="32"/>
        </w:rPr>
        <w:t xml:space="preserve">5. Exploratory Data Analysis</w:t>
      </w:r>
    </w:p>
    <w:p>
      <w:pPr>
        <w:pStyle w:val="Heading2"/>
        <w:spacing w:before="280" w:after="100"/>
      </w:pPr>
      <w:r>
        <w:rPr>
          <w:rFonts w:ascii="Arial" w:cs="Arial" w:eastAsia="Arial" w:hAnsi="Arial"/>
          <w:b/>
          <w:bCs/>
          <w:color w:val="2C2C2C"/>
          <w:sz w:val="26"/>
          <w:szCs w:val="26"/>
        </w:rPr>
        <w:t xml:space="preserve">5.1 Customer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Q1 — Avg Orders per Customer &amp; High-Value Repeat Customers</w:t>
            </w:r>
          </w:p>
          <w:p>
            <w:pPr>
              <w:pStyle w:val="ListParagraph"/>
              <w:numPr>
                <w:ilvl w:val="0"/>
                <w:numId w:val="2"/>
              </w:numPr>
              <w:spacing w:before="40" w:after="40"/>
            </w:pPr>
            <w:r>
              <w:rPr>
                <w:rFonts w:ascii="Arial" w:cs="Arial" w:eastAsia="Arial" w:hAnsi="Arial"/>
                <w:color w:val="1A1A1A"/>
                <w:sz w:val="20"/>
                <w:szCs w:val="20"/>
              </w:rPr>
              <w:t xml:space="preserve">Subquery aggregates COUNT(DISTINCT order_id) per customer_id to compute average</w:t>
            </w:r>
          </w:p>
          <w:p>
            <w:pPr>
              <w:pStyle w:val="ListParagraph"/>
              <w:numPr>
                <w:ilvl w:val="0"/>
                <w:numId w:val="2"/>
              </w:numPr>
              <w:spacing w:before="40" w:after="40"/>
            </w:pPr>
            <w:r>
              <w:rPr>
                <w:rFonts w:ascii="Arial" w:cs="Arial" w:eastAsia="Arial" w:hAnsi="Arial"/>
                <w:color w:val="1A1A1A"/>
                <w:sz w:val="20"/>
                <w:szCs w:val="20"/>
              </w:rPr>
              <w:t xml:space="preserve">High-value segment: order_count ≥ 10 AND total_spend ≥ $5,000 using CASE logic</w:t>
            </w:r>
          </w:p>
          <w:p>
            <w:pPr>
              <w:pStyle w:val="ListParagraph"/>
              <w:numPr>
                <w:ilvl w:val="0"/>
                <w:numId w:val="2"/>
              </w:numPr>
              <w:spacing w:before="40" w:after="40"/>
            </w:pPr>
            <w:r>
              <w:rPr>
                <w:rFonts w:ascii="Arial" w:cs="Arial" w:eastAsia="Arial" w:hAnsi="Arial"/>
                <w:color w:val="1A1A1A"/>
                <w:sz w:val="20"/>
                <w:szCs w:val="20"/>
              </w:rPr>
              <w:t xml:space="preserve">Revenue per customer: SUM(unit_price × quantity × (1 − discount))</w:t>
            </w:r>
          </w:p>
          <w:p>
            <w:pPr>
              <w:pStyle w:val="ListParagraph"/>
              <w:numPr>
                <w:ilvl w:val="0"/>
                <w:numId w:val="2"/>
              </w:numPr>
              <w:spacing w:before="40" w:after="40"/>
            </w:pPr>
            <w:r>
              <w:rPr>
                <w:rFonts w:ascii="Arial" w:cs="Arial" w:eastAsia="Arial" w:hAnsi="Arial"/>
                <w:color w:val="1A1A1A"/>
                <w:sz w:val="20"/>
                <w:szCs w:val="20"/>
              </w:rPr>
              <w:t xml:space="preserve">Identifies VIP accounts for targeted retention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Q2 — Order Patterns by City and Country</w:t>
            </w:r>
          </w:p>
          <w:p>
            <w:pPr>
              <w:pStyle w:val="ListParagraph"/>
              <w:numPr>
                <w:ilvl w:val="0"/>
                <w:numId w:val="2"/>
              </w:numPr>
              <w:spacing w:before="40" w:after="40"/>
            </w:pPr>
            <w:r>
              <w:rPr>
                <w:rFonts w:ascii="Arial" w:cs="Arial" w:eastAsia="Arial" w:hAnsi="Arial"/>
                <w:color w:val="1A1A1A"/>
                <w:sz w:val="20"/>
                <w:szCs w:val="20"/>
              </w:rPr>
              <w:t xml:space="preserve">Orders joined to customers, grouped by country and city</w:t>
            </w:r>
          </w:p>
          <w:p>
            <w:pPr>
              <w:pStyle w:val="ListParagraph"/>
              <w:numPr>
                <w:ilvl w:val="0"/>
                <w:numId w:val="2"/>
              </w:numPr>
              <w:spacing w:before="40" w:after="40"/>
            </w:pPr>
            <w:r>
              <w:rPr>
                <w:rFonts w:ascii="Arial" w:cs="Arial" w:eastAsia="Arial" w:hAnsi="Arial"/>
                <w:color w:val="1A1A1A"/>
                <w:sz w:val="20"/>
                <w:szCs w:val="20"/>
              </w:rPr>
              <w:t xml:space="preserve">Germany and USA lead with 122 orders each; Brazil follows with 83</w:t>
            </w:r>
          </w:p>
          <w:p>
            <w:pPr>
              <w:pStyle w:val="ListParagraph"/>
              <w:numPr>
                <w:ilvl w:val="0"/>
                <w:numId w:val="2"/>
              </w:numPr>
              <w:spacing w:before="40" w:after="40"/>
            </w:pPr>
            <w:r>
              <w:rPr>
                <w:rFonts w:ascii="Arial" w:cs="Arial" w:eastAsia="Arial" w:hAnsi="Arial"/>
                <w:color w:val="1A1A1A"/>
                <w:sz w:val="20"/>
                <w:szCs w:val="20"/>
              </w:rPr>
              <w:t xml:space="preserve">Drives Power BI bar chart and map visualisations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Q3 — Customer Segmentation</w:t>
            </w:r>
          </w:p>
          <w:p>
            <w:pPr>
              <w:pStyle w:val="ListParagraph"/>
              <w:numPr>
                <w:ilvl w:val="0"/>
                <w:numId w:val="2"/>
              </w:numPr>
              <w:spacing w:before="40" w:after="40"/>
            </w:pPr>
            <w:r>
              <w:rPr>
                <w:rFonts w:ascii="Arial" w:cs="Arial" w:eastAsia="Arial" w:hAnsi="Arial"/>
                <w:color w:val="1A1A1A"/>
                <w:sz w:val="20"/>
                <w:szCs w:val="20"/>
              </w:rPr>
              <w:t xml:space="preserve">CTE computes total_spend and order_count per customer</w:t>
            </w:r>
          </w:p>
          <w:p>
            <w:pPr>
              <w:pStyle w:val="ListParagraph"/>
              <w:numPr>
                <w:ilvl w:val="0"/>
                <w:numId w:val="2"/>
              </w:numPr>
              <w:spacing w:before="40" w:after="40"/>
            </w:pPr>
            <w:r>
              <w:rPr>
                <w:rFonts w:ascii="Arial" w:cs="Arial" w:eastAsia="Arial" w:hAnsi="Arial"/>
                <w:color w:val="1A1A1A"/>
                <w:sz w:val="20"/>
                <w:szCs w:val="20"/>
              </w:rPr>
              <w:t xml:space="preserve">CASE segmentation: High-Value, Frequent, Big Spenders, Low-Value</w:t>
            </w:r>
          </w:p>
          <w:p>
            <w:pPr>
              <w:pStyle w:val="ListParagraph"/>
              <w:numPr>
                <w:ilvl w:val="0"/>
                <w:numId w:val="2"/>
              </w:numPr>
              <w:spacing w:before="40" w:after="40"/>
            </w:pPr>
            <w:r>
              <w:rPr>
                <w:rFonts w:ascii="Arial" w:cs="Arial" w:eastAsia="Arial" w:hAnsi="Arial"/>
                <w:color w:val="1A1A1A"/>
                <w:sz w:val="20"/>
                <w:szCs w:val="20"/>
              </w:rPr>
              <w:t xml:space="preserve">Enables tiered marketing and loyalty program design</w:t>
            </w:r>
          </w:p>
        </w:tc>
      </w:tr>
    </w:tbl>
    <w:p>
      <w:pPr>
        <w:spacing w:before="100" w:after="100"/>
      </w:pPr>
      <w:r>
        <w:t xml:space="preserve"/>
      </w:r>
    </w:p>
    <w:p>
      <w:pPr>
        <w:pStyle w:val="Heading2"/>
        <w:spacing w:before="280" w:after="100"/>
      </w:pPr>
      <w:r>
        <w:rPr>
          <w:rFonts w:ascii="Arial" w:cs="Arial" w:eastAsia="Arial" w:hAnsi="Arial"/>
          <w:b/>
          <w:bCs/>
          <w:color w:val="2C2C2C"/>
          <w:sz w:val="26"/>
          <w:szCs w:val="26"/>
        </w:rPr>
        <w:t xml:space="preserve">5.2 Order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Q4 — Revenue by Product and Category</w:t>
            </w:r>
          </w:p>
          <w:p>
            <w:pPr>
              <w:pStyle w:val="ListParagraph"/>
              <w:numPr>
                <w:ilvl w:val="0"/>
                <w:numId w:val="2"/>
              </w:numPr>
              <w:spacing w:before="40" w:after="40"/>
            </w:pPr>
            <w:r>
              <w:rPr>
                <w:rFonts w:ascii="Arial" w:cs="Arial" w:eastAsia="Arial" w:hAnsi="Arial"/>
                <w:color w:val="1A1A1A"/>
                <w:sz w:val="20"/>
                <w:szCs w:val="20"/>
              </w:rPr>
              <w:t xml:space="preserve">Revenue aggregated per product and category using order_details join</w:t>
            </w:r>
          </w:p>
          <w:p>
            <w:pPr>
              <w:pStyle w:val="ListParagraph"/>
              <w:numPr>
                <w:ilvl w:val="0"/>
                <w:numId w:val="2"/>
              </w:numPr>
              <w:spacing w:before="40" w:after="40"/>
            </w:pPr>
            <w:r>
              <w:rPr>
                <w:rFonts w:ascii="Arial" w:cs="Arial" w:eastAsia="Arial" w:hAnsi="Arial"/>
                <w:color w:val="1A1A1A"/>
                <w:sz w:val="20"/>
                <w:szCs w:val="20"/>
              </w:rPr>
              <w:t xml:space="preserve">Beverages ($270K) and Dairy Products ($230K) are the top categories</w:t>
            </w:r>
          </w:p>
          <w:p>
            <w:pPr>
              <w:pStyle w:val="ListParagraph"/>
              <w:numPr>
                <w:ilvl w:val="0"/>
                <w:numId w:val="2"/>
              </w:numPr>
              <w:spacing w:before="40" w:after="40"/>
            </w:pPr>
            <w:r>
              <w:rPr>
                <w:rFonts w:ascii="Arial" w:cs="Arial" w:eastAsia="Arial" w:hAnsi="Arial"/>
                <w:color w:val="1A1A1A"/>
                <w:sz w:val="20"/>
                <w:szCs w:val="20"/>
              </w:rPr>
              <w:t xml:space="preserve">Côte de Blaye is the highest-revenue individual product (~$150K)</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Q5 — Correlations: Orders vs Location and Category</w:t>
            </w:r>
          </w:p>
          <w:p>
            <w:pPr>
              <w:pStyle w:val="ListParagraph"/>
              <w:numPr>
                <w:ilvl w:val="0"/>
                <w:numId w:val="2"/>
              </w:numPr>
              <w:spacing w:before="40" w:after="40"/>
            </w:pPr>
            <w:r>
              <w:rPr>
                <w:rFonts w:ascii="Arial" w:cs="Arial" w:eastAsia="Arial" w:hAnsi="Arial"/>
                <w:color w:val="1A1A1A"/>
                <w:sz w:val="20"/>
                <w:szCs w:val="20"/>
              </w:rPr>
              <w:t xml:space="preserve">LEAD() window functions compute inter-order intervals per customer</w:t>
            </w:r>
          </w:p>
          <w:p>
            <w:pPr>
              <w:pStyle w:val="ListParagraph"/>
              <w:numPr>
                <w:ilvl w:val="0"/>
                <w:numId w:val="2"/>
              </w:numPr>
              <w:spacing w:before="40" w:after="40"/>
            </w:pPr>
            <w:r>
              <w:rPr>
                <w:rFonts w:ascii="Arial" w:cs="Arial" w:eastAsia="Arial" w:hAnsi="Arial"/>
                <w:color w:val="1A1A1A"/>
                <w:sz w:val="20"/>
                <w:szCs w:val="20"/>
              </w:rPr>
              <w:t xml:space="preserve">Monthly revenue trend via DATE_TRUNC aggregation</w:t>
            </w:r>
          </w:p>
          <w:p>
            <w:pPr>
              <w:pStyle w:val="ListParagraph"/>
              <w:numPr>
                <w:ilvl w:val="0"/>
                <w:numId w:val="2"/>
              </w:numPr>
              <w:spacing w:before="40" w:after="40"/>
            </w:pPr>
            <w:r>
              <w:rPr>
                <w:rFonts w:ascii="Arial" w:cs="Arial" w:eastAsia="Arial" w:hAnsi="Arial"/>
                <w:color w:val="1A1A1A"/>
                <w:sz w:val="20"/>
                <w:szCs w:val="20"/>
              </w:rPr>
              <w:t xml:space="preserve">Seasonal peaks visible toward year-end; European countries dominate volumes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Q6 — Order Frequency by Customer Segment</w:t>
            </w:r>
          </w:p>
          <w:p>
            <w:pPr>
              <w:pStyle w:val="ListParagraph"/>
              <w:numPr>
                <w:ilvl w:val="0"/>
                <w:numId w:val="2"/>
              </w:numPr>
              <w:spacing w:before="40" w:after="40"/>
            </w:pPr>
            <w:r>
              <w:rPr>
                <w:rFonts w:ascii="Arial" w:cs="Arial" w:eastAsia="Arial" w:hAnsi="Arial"/>
                <w:color w:val="1A1A1A"/>
                <w:sz w:val="20"/>
                <w:szCs w:val="20"/>
              </w:rPr>
              <w:t xml:space="preserve">High-Value segment places the most orders despite smaller customer count</w:t>
            </w:r>
          </w:p>
          <w:p>
            <w:pPr>
              <w:pStyle w:val="ListParagraph"/>
              <w:numPr>
                <w:ilvl w:val="0"/>
                <w:numId w:val="2"/>
              </w:numPr>
              <w:spacing w:before="40" w:after="40"/>
            </w:pPr>
            <w:r>
              <w:rPr>
                <w:rFonts w:ascii="Arial" w:cs="Arial" w:eastAsia="Arial" w:hAnsi="Arial"/>
                <w:color w:val="1A1A1A"/>
                <w:sz w:val="20"/>
                <w:szCs w:val="20"/>
              </w:rPr>
              <w:t xml:space="preserve">Low-Value customers are most numerous but contribute least to revenue</w:t>
            </w:r>
          </w:p>
          <w:p>
            <w:pPr>
              <w:pStyle w:val="ListParagraph"/>
              <w:numPr>
                <w:ilvl w:val="0"/>
                <w:numId w:val="2"/>
              </w:numPr>
              <w:spacing w:before="40" w:after="40"/>
            </w:pPr>
            <w:r>
              <w:rPr>
                <w:rFonts w:ascii="Arial" w:cs="Arial" w:eastAsia="Arial" w:hAnsi="Arial"/>
                <w:color w:val="1A1A1A"/>
                <w:sz w:val="20"/>
                <w:szCs w:val="20"/>
              </w:rPr>
              <w:t xml:space="preserve">Supports differentiated communication and conversion strategies</w:t>
            </w:r>
          </w:p>
        </w:tc>
      </w:tr>
    </w:tbl>
    <w:p>
      <w:pPr>
        <w:spacing w:before="100" w:after="100"/>
      </w:pPr>
      <w:r>
        <w:t xml:space="preserve"/>
      </w:r>
    </w:p>
    <w:p>
      <w:pPr>
        <w:pStyle w:val="Heading2"/>
        <w:spacing w:before="280" w:after="100"/>
      </w:pPr>
      <w:r>
        <w:rPr>
          <w:rFonts w:ascii="Arial" w:cs="Arial" w:eastAsia="Arial" w:hAnsi="Arial"/>
          <w:b/>
          <w:bCs/>
          <w:color w:val="2C2C2C"/>
          <w:sz w:val="26"/>
          <w:szCs w:val="26"/>
        </w:rPr>
        <w:t xml:space="preserve">5.3 Employee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Q7 — Geographic and Title-Wise Distribution</w:t>
            </w:r>
          </w:p>
          <w:p>
            <w:pPr>
              <w:pStyle w:val="ListParagraph"/>
              <w:numPr>
                <w:ilvl w:val="0"/>
                <w:numId w:val="2"/>
              </w:numPr>
              <w:spacing w:before="40" w:after="40"/>
            </w:pPr>
            <w:r>
              <w:rPr>
                <w:rFonts w:ascii="Arial" w:cs="Arial" w:eastAsia="Arial" w:hAnsi="Arial"/>
                <w:color w:val="1A1A1A"/>
                <w:sz w:val="20"/>
                <w:szCs w:val="20"/>
              </w:rPr>
              <w:t xml:space="preserve">Employees queried by city (COALESCE for NULLs) and title</w:t>
            </w:r>
          </w:p>
          <w:p>
            <w:pPr>
              <w:pStyle w:val="ListParagraph"/>
              <w:numPr>
                <w:ilvl w:val="0"/>
                <w:numId w:val="2"/>
              </w:numPr>
              <w:spacing w:before="40" w:after="40"/>
            </w:pPr>
            <w:r>
              <w:rPr>
                <w:rFonts w:ascii="Arial" w:cs="Arial" w:eastAsia="Arial" w:hAnsi="Arial"/>
                <w:color w:val="1A1A1A"/>
                <w:sz w:val="20"/>
                <w:szCs w:val="20"/>
              </w:rPr>
              <w:t xml:space="preserve">Sales Representatives are the largest group (5 of 9 employees)</w:t>
            </w:r>
          </w:p>
          <w:p>
            <w:pPr>
              <w:pStyle w:val="ListParagraph"/>
              <w:numPr>
                <w:ilvl w:val="0"/>
                <w:numId w:val="2"/>
              </w:numPr>
              <w:spacing w:before="40" w:after="40"/>
            </w:pPr>
            <w:r>
              <w:rPr>
                <w:rFonts w:ascii="Arial" w:cs="Arial" w:eastAsia="Arial" w:hAnsi="Arial"/>
                <w:color w:val="1A1A1A"/>
                <w:sz w:val="20"/>
                <w:szCs w:val="20"/>
              </w:rPr>
              <w:t xml:space="preserve">6 in USA (Seattle), 3 in UK (London)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Q8 — Hiring Trends by Year and Title</w:t>
            </w:r>
          </w:p>
          <w:p>
            <w:pPr>
              <w:pStyle w:val="ListParagraph"/>
              <w:numPr>
                <w:ilvl w:val="0"/>
                <w:numId w:val="2"/>
              </w:numPr>
              <w:spacing w:before="40" w:after="40"/>
            </w:pPr>
            <w:r>
              <w:rPr>
                <w:rFonts w:ascii="Arial" w:cs="Arial" w:eastAsia="Arial" w:hAnsi="Arial"/>
                <w:color w:val="1A1A1A"/>
                <w:sz w:val="20"/>
                <w:szCs w:val="20"/>
              </w:rPr>
              <w:t xml:space="preserve">EXTRACT(YEAR FROM hire_date) groups hiring by year</w:t>
            </w:r>
          </w:p>
          <w:p>
            <w:pPr>
              <w:pStyle w:val="ListParagraph"/>
              <w:numPr>
                <w:ilvl w:val="0"/>
                <w:numId w:val="2"/>
              </w:numPr>
              <w:spacing w:before="40" w:after="40"/>
            </w:pPr>
            <w:r>
              <w:rPr>
                <w:rFonts w:ascii="Arial" w:cs="Arial" w:eastAsia="Arial" w:hAnsi="Arial"/>
                <w:color w:val="1A1A1A"/>
                <w:sz w:val="20"/>
                <w:szCs w:val="20"/>
              </w:rPr>
              <w:t xml:space="preserve">All hiring occurred 1992–1994; no new hires after 1994 in dataset</w:t>
            </w:r>
          </w:p>
          <w:p>
            <w:pPr>
              <w:pStyle w:val="ListParagraph"/>
              <w:numPr>
                <w:ilvl w:val="0"/>
                <w:numId w:val="2"/>
              </w:numPr>
              <w:spacing w:before="40" w:after="40"/>
            </w:pPr>
            <w:r>
              <w:rPr>
                <w:rFonts w:ascii="Arial" w:cs="Arial" w:eastAsia="Arial" w:hAnsi="Arial"/>
                <w:color w:val="1A1A1A"/>
                <w:sz w:val="20"/>
                <w:szCs w:val="20"/>
              </w:rPr>
              <w:t xml:space="preserve">Tenure distribution: 3 employees each in 2-, 3-, and 4-year bands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Q9 — Title and Courtesy Title Patterns</w:t>
            </w:r>
          </w:p>
          <w:p>
            <w:pPr>
              <w:pStyle w:val="ListParagraph"/>
              <w:numPr>
                <w:ilvl w:val="0"/>
                <w:numId w:val="2"/>
              </w:numPr>
              <w:spacing w:before="40" w:after="40"/>
            </w:pPr>
            <w:r>
              <w:rPr>
                <w:rFonts w:ascii="Arial" w:cs="Arial" w:eastAsia="Arial" w:hAnsi="Arial"/>
                <w:color w:val="1A1A1A"/>
                <w:sz w:val="20"/>
                <w:szCs w:val="20"/>
              </w:rPr>
              <w:t xml:space="preserve">GROUP BY title and title_of_courtesy reveals distribution</w:t>
            </w:r>
          </w:p>
          <w:p>
            <w:pPr>
              <w:pStyle w:val="ListParagraph"/>
              <w:numPr>
                <w:ilvl w:val="0"/>
                <w:numId w:val="2"/>
              </w:numPr>
              <w:spacing w:before="40" w:after="40"/>
            </w:pPr>
            <w:r>
              <w:rPr>
                <w:rFonts w:ascii="Arial" w:cs="Arial" w:eastAsia="Arial" w:hAnsi="Arial"/>
                <w:color w:val="1A1A1A"/>
                <w:sz w:val="20"/>
                <w:szCs w:val="20"/>
              </w:rPr>
              <w:t xml:space="preserve">44.44% Mr., 33.33% Ms., 11.11% Mrs., 11.11% Dr.</w:t>
            </w:r>
          </w:p>
          <w:p>
            <w:pPr>
              <w:pStyle w:val="ListParagraph"/>
              <w:numPr>
                <w:ilvl w:val="0"/>
                <w:numId w:val="2"/>
              </w:numPr>
              <w:spacing w:before="40" w:after="40"/>
            </w:pPr>
            <w:r>
              <w:rPr>
                <w:rFonts w:ascii="Arial" w:cs="Arial" w:eastAsia="Arial" w:hAnsi="Arial"/>
                <w:color w:val="1A1A1A"/>
                <w:sz w:val="20"/>
                <w:szCs w:val="20"/>
              </w:rPr>
              <w:t xml:space="preserve">Sales Representatives are exclusively female in this dataset</w:t>
            </w:r>
          </w:p>
        </w:tc>
      </w:tr>
    </w:tbl>
    <w:p>
      <w:pPr>
        <w:spacing w:before="100" w:after="100"/>
      </w:pPr>
      <w:r>
        <w:t xml:space="preserve"/>
      </w:r>
    </w:p>
    <w:p>
      <w:pPr>
        <w:pStyle w:val="Heading2"/>
        <w:spacing w:before="280" w:after="100"/>
      </w:pPr>
      <w:r>
        <w:rPr>
          <w:rFonts w:ascii="Arial" w:cs="Arial" w:eastAsia="Arial" w:hAnsi="Arial"/>
          <w:b/>
          <w:bCs/>
          <w:color w:val="2C2C2C"/>
          <w:sz w:val="26"/>
          <w:szCs w:val="26"/>
        </w:rPr>
        <w:t xml:space="preserve">5.4 Product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Q10 — Pricing, Stock, and Sales Correlation</w:t>
            </w:r>
          </w:p>
          <w:p>
            <w:pPr>
              <w:pStyle w:val="ListParagraph"/>
              <w:numPr>
                <w:ilvl w:val="0"/>
                <w:numId w:val="2"/>
              </w:numPr>
              <w:spacing w:before="40" w:after="40"/>
            </w:pPr>
            <w:r>
              <w:rPr>
                <w:rFonts w:ascii="Arial" w:cs="Arial" w:eastAsia="Arial" w:hAnsi="Arial"/>
                <w:color w:val="1A1A1A"/>
                <w:sz w:val="20"/>
                <w:szCs w:val="20"/>
              </w:rPr>
              <w:t xml:space="preserve">Products joined to order_details for total_quantity_sold and total_revenue</w:t>
            </w:r>
          </w:p>
          <w:p>
            <w:pPr>
              <w:pStyle w:val="ListParagraph"/>
              <w:numPr>
                <w:ilvl w:val="0"/>
                <w:numId w:val="2"/>
              </w:numPr>
              <w:spacing w:before="40" w:after="40"/>
            </w:pPr>
            <w:r>
              <w:rPr>
                <w:rFonts w:ascii="Arial" w:cs="Arial" w:eastAsia="Arial" w:hAnsi="Arial"/>
                <w:color w:val="1A1A1A"/>
                <w:sz w:val="20"/>
                <w:szCs w:val="20"/>
              </w:rPr>
              <w:t xml:space="preserve">Revenue vs Quantity scatter shows Côte de Blaye as high-price/lower-volume outlier</w:t>
            </w:r>
          </w:p>
          <w:p>
            <w:pPr>
              <w:pStyle w:val="ListParagraph"/>
              <w:numPr>
                <w:ilvl w:val="0"/>
                <w:numId w:val="2"/>
              </w:numPr>
              <w:spacing w:before="40" w:after="40"/>
            </w:pPr>
            <w:r>
              <w:rPr>
                <w:rFonts w:ascii="Arial" w:cs="Arial" w:eastAsia="Arial" w:hAnsi="Arial"/>
                <w:color w:val="1A1A1A"/>
                <w:sz w:val="20"/>
                <w:szCs w:val="20"/>
              </w:rPr>
              <w:t xml:space="preserve">Most products cluster in the low-revenue, moderate-quantity zone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Q11 — Monthly and Seasonal Demand</w:t>
            </w:r>
          </w:p>
          <w:p>
            <w:pPr>
              <w:pStyle w:val="ListParagraph"/>
              <w:numPr>
                <w:ilvl w:val="0"/>
                <w:numId w:val="2"/>
              </w:numPr>
              <w:spacing w:before="40" w:after="40"/>
            </w:pPr>
            <w:r>
              <w:rPr>
                <w:rFonts w:ascii="Arial" w:cs="Arial" w:eastAsia="Arial" w:hAnsi="Arial"/>
                <w:color w:val="1A1A1A"/>
                <w:sz w:val="20"/>
                <w:szCs w:val="20"/>
              </w:rPr>
              <w:t xml:space="preserve">DATE_TRUNC used to aggregate quantity by month</w:t>
            </w:r>
          </w:p>
          <w:p>
            <w:pPr>
              <w:pStyle w:val="ListParagraph"/>
              <w:numPr>
                <w:ilvl w:val="0"/>
                <w:numId w:val="2"/>
              </w:numPr>
              <w:spacing w:before="40" w:after="40"/>
            </w:pPr>
            <w:r>
              <w:rPr>
                <w:rFonts w:ascii="Arial" w:cs="Arial" w:eastAsia="Arial" w:hAnsi="Arial"/>
                <w:color w:val="1A1A1A"/>
                <w:sz w:val="20"/>
                <w:szCs w:val="20"/>
              </w:rPr>
              <w:t xml:space="preserve">Demand increases from mid-1995 with peak in early 1996</w:t>
            </w:r>
          </w:p>
          <w:p>
            <w:pPr>
              <w:pStyle w:val="ListParagraph"/>
              <w:numPr>
                <w:ilvl w:val="0"/>
                <w:numId w:val="2"/>
              </w:numPr>
              <w:spacing w:before="40" w:after="40"/>
            </w:pPr>
            <w:r>
              <w:rPr>
                <w:rFonts w:ascii="Arial" w:cs="Arial" w:eastAsia="Arial" w:hAnsi="Arial"/>
                <w:color w:val="1A1A1A"/>
                <w:sz w:val="20"/>
                <w:szCs w:val="20"/>
              </w:rPr>
              <w:t xml:space="preserve">Q4 consistently outperforms Q1 each year — seasonal pattern confirmed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Q12 — Anomaly Detection in Product Sales</w:t>
            </w:r>
          </w:p>
          <w:p>
            <w:pPr>
              <w:pStyle w:val="ListParagraph"/>
              <w:numPr>
                <w:ilvl w:val="0"/>
                <w:numId w:val="2"/>
              </w:numPr>
              <w:spacing w:before="40" w:after="40"/>
            </w:pPr>
            <w:r>
              <w:rPr>
                <w:rFonts w:ascii="Arial" w:cs="Arial" w:eastAsia="Arial" w:hAnsi="Arial"/>
                <w:color w:val="1A1A1A"/>
                <w:sz w:val="20"/>
                <w:szCs w:val="20"/>
              </w:rPr>
              <w:t xml:space="preserve">CTE calculates avg quantity across all products</w:t>
            </w:r>
          </w:p>
          <w:p>
            <w:pPr>
              <w:pStyle w:val="ListParagraph"/>
              <w:numPr>
                <w:ilvl w:val="0"/>
                <w:numId w:val="2"/>
              </w:numPr>
              <w:spacing w:before="40" w:after="40"/>
            </w:pPr>
            <w:r>
              <w:rPr>
                <w:rFonts w:ascii="Arial" w:cs="Arial" w:eastAsia="Arial" w:hAnsi="Arial"/>
                <w:color w:val="1A1A1A"/>
                <w:sz w:val="20"/>
                <w:szCs w:val="20"/>
              </w:rPr>
              <w:t xml:space="preserve">Products exceeding threshold flagged as high-volume outliers</w:t>
            </w:r>
          </w:p>
          <w:p>
            <w:pPr>
              <w:pStyle w:val="ListParagraph"/>
              <w:numPr>
                <w:ilvl w:val="0"/>
                <w:numId w:val="2"/>
              </w:numPr>
              <w:spacing w:before="40" w:after="40"/>
            </w:pPr>
            <w:r>
              <w:rPr>
                <w:rFonts w:ascii="Arial" w:cs="Arial" w:eastAsia="Arial" w:hAnsi="Arial"/>
                <w:color w:val="1A1A1A"/>
                <w:sz w:val="20"/>
                <w:szCs w:val="20"/>
              </w:rPr>
              <w:t xml:space="preserve">Near-zero sales products identified for potential discontinuation</w:t>
            </w:r>
          </w:p>
        </w:tc>
      </w:tr>
    </w:tbl>
    <w:p>
      <w:pPr>
        <w:spacing w:before="100" w:after="100"/>
      </w:pPr>
      <w:r>
        <w:t xml:space="preserve"/>
      </w:r>
    </w:p>
    <w:p>
      <w:pPr>
        <w:pStyle w:val="Heading2"/>
        <w:spacing w:before="280" w:after="100"/>
      </w:pPr>
      <w:r>
        <w:rPr>
          <w:rFonts w:ascii="Arial" w:cs="Arial" w:eastAsia="Arial" w:hAnsi="Arial"/>
          <w:b/>
          <w:bCs/>
          <w:color w:val="2C2C2C"/>
          <w:sz w:val="26"/>
          <w:szCs w:val="26"/>
        </w:rPr>
        <w:t xml:space="preserve">5.5 Supplier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Q13 — Regional Supplier Distribution and Pricing</w:t>
            </w:r>
          </w:p>
          <w:p>
            <w:pPr>
              <w:pStyle w:val="ListParagraph"/>
              <w:numPr>
                <w:ilvl w:val="0"/>
                <w:numId w:val="2"/>
              </w:numPr>
              <w:spacing w:before="40" w:after="40"/>
            </w:pPr>
            <w:r>
              <w:rPr>
                <w:rFonts w:ascii="Arial" w:cs="Arial" w:eastAsia="Arial" w:hAnsi="Arial"/>
                <w:color w:val="1A1A1A"/>
                <w:sz w:val="20"/>
                <w:szCs w:val="20"/>
              </w:rPr>
              <w:t xml:space="preserve">Grouped by country: COUNT(DISTINCT supplier_id) and AVG(unit_price)</w:t>
            </w:r>
          </w:p>
          <w:p>
            <w:pPr>
              <w:pStyle w:val="ListParagraph"/>
              <w:numPr>
                <w:ilvl w:val="0"/>
                <w:numId w:val="2"/>
              </w:numPr>
              <w:spacing w:before="40" w:after="40"/>
            </w:pPr>
            <w:r>
              <w:rPr>
                <w:rFonts w:ascii="Arial" w:cs="Arial" w:eastAsia="Arial" w:hAnsi="Arial"/>
                <w:color w:val="1A1A1A"/>
                <w:sz w:val="20"/>
                <w:szCs w:val="20"/>
              </w:rPr>
              <w:t xml:space="preserve">Norway has the highest average price despite fewer suppliers</w:t>
            </w:r>
          </w:p>
          <w:p>
            <w:pPr>
              <w:pStyle w:val="ListParagraph"/>
              <w:numPr>
                <w:ilvl w:val="0"/>
                <w:numId w:val="2"/>
              </w:numPr>
              <w:spacing w:before="40" w:after="40"/>
            </w:pPr>
            <w:r>
              <w:rPr>
                <w:rFonts w:ascii="Arial" w:cs="Arial" w:eastAsia="Arial" w:hAnsi="Arial"/>
                <w:color w:val="1A1A1A"/>
                <w:sz w:val="20"/>
                <w:szCs w:val="20"/>
              </w:rPr>
              <w:t xml:space="preserve">UK and USA have the most suppliers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Q14 — Supplier Distribution by Category</w:t>
            </w:r>
          </w:p>
          <w:p>
            <w:pPr>
              <w:pStyle w:val="ListParagraph"/>
              <w:numPr>
                <w:ilvl w:val="0"/>
                <w:numId w:val="2"/>
              </w:numPr>
              <w:spacing w:before="40" w:after="40"/>
            </w:pPr>
            <w:r>
              <w:rPr>
                <w:rFonts w:ascii="Arial" w:cs="Arial" w:eastAsia="Arial" w:hAnsi="Arial"/>
                <w:color w:val="1A1A1A"/>
                <w:sz w:val="20"/>
                <w:szCs w:val="20"/>
              </w:rPr>
              <w:t xml:space="preserve">Three-table join: categories → products → suppliers</w:t>
            </w:r>
          </w:p>
          <w:p>
            <w:pPr>
              <w:pStyle w:val="ListParagraph"/>
              <w:numPr>
                <w:ilvl w:val="0"/>
                <w:numId w:val="2"/>
              </w:numPr>
              <w:spacing w:before="40" w:after="40"/>
            </w:pPr>
            <w:r>
              <w:rPr>
                <w:rFonts w:ascii="Arial" w:cs="Arial" w:eastAsia="Arial" w:hAnsi="Arial"/>
                <w:color w:val="1A1A1A"/>
                <w:sz w:val="20"/>
                <w:szCs w:val="20"/>
              </w:rPr>
              <w:t xml:space="preserve">Beverages and Condiments have the most diverse supplier bases</w:t>
            </w:r>
          </w:p>
          <w:p>
            <w:pPr>
              <w:pStyle w:val="ListParagraph"/>
              <w:numPr>
                <w:ilvl w:val="0"/>
                <w:numId w:val="2"/>
              </w:numPr>
              <w:spacing w:before="40" w:after="40"/>
            </w:pPr>
            <w:r>
              <w:rPr>
                <w:rFonts w:ascii="Arial" w:cs="Arial" w:eastAsia="Arial" w:hAnsi="Arial"/>
                <w:color w:val="1A1A1A"/>
                <w:sz w:val="20"/>
                <w:szCs w:val="20"/>
              </w:rPr>
              <w:t xml:space="preserve">Grains/Cereals has fewer, more concentrated suppliers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160"/>
              <w:bottom w:type="dxa" w:w="120"/>
              <w:right w:type="dxa" w:w="160"/>
            </w:tcMar>
          </w:tcPr>
          <w:p>
            <w:pPr>
              <w:spacing w:after="80"/>
            </w:pPr>
            <w:r>
              <w:rPr>
                <w:rFonts w:ascii="Arial" w:cs="Arial" w:eastAsia="Arial" w:hAnsi="Arial"/>
                <w:b/>
                <w:bCs/>
                <w:color w:val="B8860B"/>
                <w:sz w:val="22"/>
                <w:szCs w:val="22"/>
              </w:rPr>
              <w:t xml:space="preserve">Q15 — Pricing by Region and Category</w:t>
            </w:r>
          </w:p>
          <w:p>
            <w:pPr>
              <w:pStyle w:val="ListParagraph"/>
              <w:numPr>
                <w:ilvl w:val="0"/>
                <w:numId w:val="2"/>
              </w:numPr>
              <w:spacing w:before="40" w:after="40"/>
            </w:pPr>
            <w:r>
              <w:rPr>
                <w:rFonts w:ascii="Arial" w:cs="Arial" w:eastAsia="Arial" w:hAnsi="Arial"/>
                <w:color w:val="1A1A1A"/>
                <w:sz w:val="20"/>
                <w:szCs w:val="20"/>
              </w:rPr>
              <w:t xml:space="preserve">GROUP BY country and category_name to show avg_price per region-category pair</w:t>
            </w:r>
          </w:p>
          <w:p>
            <w:pPr>
              <w:pStyle w:val="ListParagraph"/>
              <w:numPr>
                <w:ilvl w:val="0"/>
                <w:numId w:val="2"/>
              </w:numPr>
              <w:spacing w:before="40" w:after="40"/>
            </w:pPr>
            <w:r>
              <w:rPr>
                <w:rFonts w:ascii="Arial" w:cs="Arial" w:eastAsia="Arial" w:hAnsi="Arial"/>
                <w:color w:val="1A1A1A"/>
                <w:sz w:val="20"/>
                <w:szCs w:val="20"/>
              </w:rPr>
              <w:t xml:space="preserve">Exotic Liquids (UK) commands the highest average price in Beverages</w:t>
            </w:r>
          </w:p>
          <w:p>
            <w:pPr>
              <w:pStyle w:val="ListParagraph"/>
              <w:numPr>
                <w:ilvl w:val="0"/>
                <w:numId w:val="2"/>
              </w:numPr>
              <w:spacing w:before="40" w:after="40"/>
            </w:pPr>
            <w:r>
              <w:rPr>
                <w:rFonts w:ascii="Arial" w:cs="Arial" w:eastAsia="Arial" w:hAnsi="Arial"/>
                <w:color w:val="1A1A1A"/>
                <w:sz w:val="20"/>
                <w:szCs w:val="20"/>
              </w:rPr>
              <w:t xml:space="preserve">Australian and Japanese suppliers show premium pricing in select categories</w:t>
            </w:r>
          </w:p>
        </w:tc>
      </w:tr>
    </w:tbl>
    <w:p>
      <w:pPr>
        <w:spacing w:before="100" w:after="100"/>
      </w:pPr>
      <w:r>
        <w:t xml:space="preserve"/>
      </w:r>
    </w:p>
    <w:p>
      <w:pPr>
        <w:pStyle w:val="Heading1"/>
        <w:pBdr>
          <w:bottom w:val="single" w:color="B8860B" w:sz="4" w:space="4"/>
        </w:pBdr>
        <w:spacing w:before="400" w:after="160"/>
      </w:pPr>
      <w:r>
        <w:rPr>
          <w:rFonts w:ascii="Arial" w:cs="Arial" w:eastAsia="Arial" w:hAnsi="Arial"/>
          <w:b/>
          <w:bCs/>
          <w:color w:val="B8860B"/>
          <w:sz w:val="32"/>
          <w:szCs w:val="32"/>
        </w:rPr>
        <w:t xml:space="preserve">6. Dashboard Explanation</w:t>
      </w:r>
    </w:p>
    <w:p>
      <w:pPr>
        <w:spacing w:before="80" w:after="80"/>
      </w:pPr>
      <w:r>
        <w:rPr>
          <w:rFonts w:ascii="Arial" w:cs="Arial" w:eastAsia="Arial" w:hAnsi="Arial"/>
          <w:color w:val="1A1A1A"/>
          <w:sz w:val="22"/>
          <w:szCs w:val="22"/>
        </w:rPr>
        <w:t xml:space="preserve">The Power BI solution consists of 6 pages: one Index page and five dedicated analysis dashboards. All dashboards share a gold-and-white theme with year-filter slicers (1994–1997) and cross-page navigation.</w:t>
      </w:r>
    </w:p>
    <w:p>
      <w:pPr>
        <w:pStyle w:val="Heading2"/>
        <w:spacing w:before="280" w:after="100"/>
      </w:pPr>
      <w:r>
        <w:rPr>
          <w:rFonts w:ascii="Arial" w:cs="Arial" w:eastAsia="Arial" w:hAnsi="Arial"/>
          <w:b/>
          <w:bCs/>
          <w:color w:val="2C2C2C"/>
          <w:sz w:val="26"/>
          <w:szCs w:val="26"/>
        </w:rPr>
        <w:t xml:space="preserve">6.1 Index Dashboard</w:t>
      </w:r>
    </w:p>
    <w:p>
      <w:pPr>
        <w:pStyle w:val="ListParagraph"/>
        <w:numPr>
          <w:ilvl w:val="0"/>
          <w:numId w:val="2"/>
        </w:numPr>
        <w:spacing w:before="60" w:after="60"/>
      </w:pPr>
      <w:r>
        <w:rPr>
          <w:rFonts w:ascii="Arial" w:cs="Arial" w:eastAsia="Arial" w:hAnsi="Arial"/>
          <w:color w:val="1A1A1A"/>
          <w:sz w:val="22"/>
          <w:szCs w:val="22"/>
        </w:rPr>
        <w:t xml:space="preserve">KPIs: 830 Orders | $1M Revenue | 91 Customers | 9 Employees | 29 Suppliers | 5 Dashboards</w:t>
      </w:r>
    </w:p>
    <w:p>
      <w:pPr>
        <w:pStyle w:val="ListParagraph"/>
        <w:numPr>
          <w:ilvl w:val="0"/>
          <w:numId w:val="2"/>
        </w:numPr>
        <w:spacing w:before="60" w:after="60"/>
      </w:pPr>
      <w:r>
        <w:rPr>
          <w:rFonts w:ascii="Arial" w:cs="Arial" w:eastAsia="Arial" w:hAnsi="Arial"/>
          <w:color w:val="1A1A1A"/>
          <w:sz w:val="22"/>
          <w:szCs w:val="22"/>
        </w:rPr>
        <w:t xml:space="preserve">Navigation cards for all five sub-dashboards</w:t>
      </w:r>
    </w:p>
    <w:p>
      <w:pPr>
        <w:pStyle w:val="ListParagraph"/>
        <w:numPr>
          <w:ilvl w:val="0"/>
          <w:numId w:val="2"/>
        </w:numPr>
        <w:spacing w:before="60" w:after="60"/>
      </w:pPr>
      <w:r>
        <w:rPr>
          <w:rFonts w:ascii="Arial" w:cs="Arial" w:eastAsia="Arial" w:hAnsi="Arial"/>
          <w:color w:val="1A1A1A"/>
          <w:sz w:val="22"/>
          <w:szCs w:val="22"/>
        </w:rPr>
        <w:t xml:space="preserve">Year filter slicer (1994–1997) applies across all pages</w:t>
      </w:r>
    </w:p>
    <w:p>
      <w:pPr>
        <w:pStyle w:val="Heading2"/>
        <w:spacing w:before="280" w:after="100"/>
      </w:pPr>
      <w:r>
        <w:rPr>
          <w:rFonts w:ascii="Arial" w:cs="Arial" w:eastAsia="Arial" w:hAnsi="Arial"/>
          <w:b/>
          <w:bCs/>
          <w:color w:val="2C2C2C"/>
          <w:sz w:val="26"/>
          <w:szCs w:val="26"/>
        </w:rPr>
        <w:t xml:space="preserve">6.2 Customer Analysis Dashboard</w:t>
      </w:r>
    </w:p>
    <w:p>
      <w:pPr>
        <w:pStyle w:val="ListParagraph"/>
        <w:numPr>
          <w:ilvl w:val="0"/>
          <w:numId w:val="2"/>
        </w:numPr>
        <w:spacing w:before="60" w:after="60"/>
      </w:pPr>
      <w:r>
        <w:rPr>
          <w:rFonts w:ascii="Arial" w:cs="Arial" w:eastAsia="Arial" w:hAnsi="Arial"/>
          <w:color w:val="1A1A1A"/>
          <w:sz w:val="22"/>
          <w:szCs w:val="22"/>
        </w:rPr>
        <w:t xml:space="preserve">Customer Role Distribution: Donut — 45% Others, 18.68% Sales Representatives, 12.09% Sales Managers</w:t>
      </w:r>
    </w:p>
    <w:p>
      <w:pPr>
        <w:pStyle w:val="ListParagraph"/>
        <w:numPr>
          <w:ilvl w:val="0"/>
          <w:numId w:val="2"/>
        </w:numPr>
        <w:spacing w:before="60" w:after="60"/>
      </w:pPr>
      <w:r>
        <w:rPr>
          <w:rFonts w:ascii="Arial" w:cs="Arial" w:eastAsia="Arial" w:hAnsi="Arial"/>
          <w:color w:val="1A1A1A"/>
          <w:sz w:val="22"/>
          <w:szCs w:val="22"/>
        </w:rPr>
        <w:t xml:space="preserve">Customers by Country: Map — concentration in USA, Germany, France, Brazil, UK</w:t>
      </w:r>
    </w:p>
    <w:p>
      <w:pPr>
        <w:pStyle w:val="ListParagraph"/>
        <w:numPr>
          <w:ilvl w:val="0"/>
          <w:numId w:val="2"/>
        </w:numPr>
        <w:spacing w:before="60" w:after="60"/>
      </w:pPr>
      <w:r>
        <w:rPr>
          <w:rFonts w:ascii="Arial" w:cs="Arial" w:eastAsia="Arial" w:hAnsi="Arial"/>
          <w:color w:val="1A1A1A"/>
          <w:sz w:val="22"/>
          <w:szCs w:val="22"/>
        </w:rPr>
        <w:t xml:space="preserve">Customer Roles by Country: Stacked bar — USA leads (13), France and Germany (11 each)</w:t>
      </w:r>
    </w:p>
    <w:p>
      <w:pPr>
        <w:pStyle w:val="ListParagraph"/>
        <w:numPr>
          <w:ilvl w:val="0"/>
          <w:numId w:val="2"/>
        </w:numPr>
        <w:spacing w:before="60" w:after="60"/>
      </w:pPr>
      <w:r>
        <w:rPr>
          <w:rFonts w:ascii="Arial" w:cs="Arial" w:eastAsia="Arial" w:hAnsi="Arial"/>
          <w:color w:val="1A1A1A"/>
          <w:sz w:val="22"/>
          <w:szCs w:val="22"/>
        </w:rPr>
        <w:t xml:space="preserve">Orders Trend Over Time: Line chart — steady growth from Aug 1994, peak May 1996</w:t>
      </w:r>
    </w:p>
    <w:p>
      <w:pPr>
        <w:pStyle w:val="Heading2"/>
        <w:spacing w:before="280" w:after="100"/>
      </w:pPr>
      <w:r>
        <w:rPr>
          <w:rFonts w:ascii="Arial" w:cs="Arial" w:eastAsia="Arial" w:hAnsi="Arial"/>
          <w:b/>
          <w:bCs/>
          <w:color w:val="2C2C2C"/>
          <w:sz w:val="26"/>
          <w:szCs w:val="26"/>
        </w:rPr>
        <w:t xml:space="preserve">6.3 Order Performance Dashboard</w:t>
      </w:r>
    </w:p>
    <w:p>
      <w:pPr>
        <w:pStyle w:val="ListParagraph"/>
        <w:numPr>
          <w:ilvl w:val="0"/>
          <w:numId w:val="2"/>
        </w:numPr>
        <w:spacing w:before="60" w:after="60"/>
      </w:pPr>
      <w:r>
        <w:rPr>
          <w:rFonts w:ascii="Arial" w:cs="Arial" w:eastAsia="Arial" w:hAnsi="Arial"/>
          <w:color w:val="1A1A1A"/>
          <w:sz w:val="22"/>
          <w:szCs w:val="22"/>
        </w:rPr>
        <w:t xml:space="preserve">KPIs: 830 Orders | $1M Revenue | 51K Units Sold | $1.53K Avg Order Value</w:t>
      </w:r>
    </w:p>
    <w:p>
      <w:pPr>
        <w:pStyle w:val="ListParagraph"/>
        <w:numPr>
          <w:ilvl w:val="0"/>
          <w:numId w:val="2"/>
        </w:numPr>
        <w:spacing w:before="60" w:after="60"/>
      </w:pPr>
      <w:r>
        <w:rPr>
          <w:rFonts w:ascii="Arial" w:cs="Arial" w:eastAsia="Arial" w:hAnsi="Arial"/>
          <w:color w:val="1A1A1A"/>
          <w:sz w:val="22"/>
          <w:szCs w:val="22"/>
        </w:rPr>
        <w:t xml:space="preserve">Orders Trend: Consistent growth, peak ~78 orders Apr/May 1996</w:t>
      </w:r>
    </w:p>
    <w:p>
      <w:pPr>
        <w:pStyle w:val="ListParagraph"/>
        <w:numPr>
          <w:ilvl w:val="0"/>
          <w:numId w:val="2"/>
        </w:numPr>
        <w:spacing w:before="60" w:after="60"/>
      </w:pPr>
      <w:r>
        <w:rPr>
          <w:rFonts w:ascii="Arial" w:cs="Arial" w:eastAsia="Arial" w:hAnsi="Arial"/>
          <w:color w:val="1A1A1A"/>
          <w:sz w:val="22"/>
          <w:szCs w:val="22"/>
        </w:rPr>
        <w:t xml:space="preserve">Revenue by Category: Beverages $0.27M, Dairy $0.23M, Confections $0.17M</w:t>
      </w:r>
    </w:p>
    <w:p>
      <w:pPr>
        <w:pStyle w:val="ListParagraph"/>
        <w:numPr>
          <w:ilvl w:val="0"/>
          <w:numId w:val="2"/>
        </w:numPr>
        <w:spacing w:before="60" w:after="60"/>
      </w:pPr>
      <w:r>
        <w:rPr>
          <w:rFonts w:ascii="Arial" w:cs="Arial" w:eastAsia="Arial" w:hAnsi="Arial"/>
          <w:color w:val="1A1A1A"/>
          <w:sz w:val="22"/>
          <w:szCs w:val="22"/>
        </w:rPr>
        <w:t xml:space="preserve">Order Value Distribution: $1K–$2.5K is the most common range (273 orders)</w:t>
      </w:r>
    </w:p>
    <w:p>
      <w:pPr>
        <w:pStyle w:val="ListParagraph"/>
        <w:numPr>
          <w:ilvl w:val="0"/>
          <w:numId w:val="2"/>
        </w:numPr>
        <w:spacing w:before="60" w:after="60"/>
      </w:pPr>
      <w:r>
        <w:rPr>
          <w:rFonts w:ascii="Arial" w:cs="Arial" w:eastAsia="Arial" w:hAnsi="Arial"/>
          <w:color w:val="1A1A1A"/>
          <w:sz w:val="22"/>
          <w:szCs w:val="22"/>
        </w:rPr>
        <w:t xml:space="preserve">Orders by Country: Germany and USA tied at 122 each</w:t>
      </w:r>
    </w:p>
    <w:p>
      <w:pPr>
        <w:pStyle w:val="Heading2"/>
        <w:spacing w:before="280" w:after="100"/>
      </w:pPr>
      <w:r>
        <w:rPr>
          <w:rFonts w:ascii="Arial" w:cs="Arial" w:eastAsia="Arial" w:hAnsi="Arial"/>
          <w:b/>
          <w:bCs/>
          <w:color w:val="2C2C2C"/>
          <w:sz w:val="26"/>
          <w:szCs w:val="26"/>
        </w:rPr>
        <w:t xml:space="preserve">6.4 Employee Analysis Dashboard</w:t>
      </w:r>
    </w:p>
    <w:p>
      <w:pPr>
        <w:pStyle w:val="ListParagraph"/>
        <w:numPr>
          <w:ilvl w:val="0"/>
          <w:numId w:val="2"/>
        </w:numPr>
        <w:spacing w:before="60" w:after="60"/>
      </w:pPr>
      <w:r>
        <w:rPr>
          <w:rFonts w:ascii="Arial" w:cs="Arial" w:eastAsia="Arial" w:hAnsi="Arial"/>
          <w:color w:val="1A1A1A"/>
          <w:sz w:val="22"/>
          <w:szCs w:val="22"/>
        </w:rPr>
        <w:t xml:space="preserve">KPIs: 9 Employees | 3.00 Avg Tenure Years | $1M Revenue Generated</w:t>
      </w:r>
    </w:p>
    <w:p>
      <w:pPr>
        <w:pStyle w:val="ListParagraph"/>
        <w:numPr>
          <w:ilvl w:val="0"/>
          <w:numId w:val="2"/>
        </w:numPr>
        <w:spacing w:before="60" w:after="60"/>
      </w:pPr>
      <w:r>
        <w:rPr>
          <w:rFonts w:ascii="Arial" w:cs="Arial" w:eastAsia="Arial" w:hAnsi="Arial"/>
          <w:color w:val="1A1A1A"/>
          <w:sz w:val="22"/>
          <w:szCs w:val="22"/>
        </w:rPr>
        <w:t xml:space="preserve">Revenue by Employee: Peacock $233K, Leverling $203K, Davolio $192K</w:t>
      </w:r>
    </w:p>
    <w:p>
      <w:pPr>
        <w:pStyle w:val="ListParagraph"/>
        <w:numPr>
          <w:ilvl w:val="0"/>
          <w:numId w:val="2"/>
        </w:numPr>
        <w:spacing w:before="60" w:after="60"/>
      </w:pPr>
      <w:r>
        <w:rPr>
          <w:rFonts w:ascii="Arial" w:cs="Arial" w:eastAsia="Arial" w:hAnsi="Arial"/>
          <w:color w:val="1A1A1A"/>
          <w:sz w:val="22"/>
          <w:szCs w:val="22"/>
        </w:rPr>
        <w:t xml:space="preserve">Employees by Title: 5 Sales Representatives, 1 Manager, 1 Inside Sales Co., 1 VP</w:t>
      </w:r>
    </w:p>
    <w:p>
      <w:pPr>
        <w:pStyle w:val="ListParagraph"/>
        <w:numPr>
          <w:ilvl w:val="0"/>
          <w:numId w:val="2"/>
        </w:numPr>
        <w:spacing w:before="60" w:after="60"/>
      </w:pPr>
      <w:r>
        <w:rPr>
          <w:rFonts w:ascii="Arial" w:cs="Arial" w:eastAsia="Arial" w:hAnsi="Arial"/>
          <w:color w:val="1A1A1A"/>
          <w:sz w:val="22"/>
          <w:szCs w:val="22"/>
        </w:rPr>
        <w:t xml:space="preserve">Tenure Distribution: Even split — 3 employees each in 2-, 3-, 4-year bands</w:t>
      </w:r>
    </w:p>
    <w:p>
      <w:pPr>
        <w:pStyle w:val="ListParagraph"/>
        <w:numPr>
          <w:ilvl w:val="0"/>
          <w:numId w:val="2"/>
        </w:numPr>
        <w:spacing w:before="60" w:after="60"/>
      </w:pPr>
      <w:r>
        <w:rPr>
          <w:rFonts w:ascii="Arial" w:cs="Arial" w:eastAsia="Arial" w:hAnsi="Arial"/>
          <w:color w:val="1A1A1A"/>
          <w:sz w:val="22"/>
          <w:szCs w:val="22"/>
        </w:rPr>
        <w:t xml:space="preserve">Employees by Country: 6 USA (Seattle), 3 UK (London)</w:t>
      </w:r>
    </w:p>
    <w:p>
      <w:pPr>
        <w:pStyle w:val="Heading2"/>
        <w:spacing w:before="280" w:after="100"/>
      </w:pPr>
      <w:r>
        <w:rPr>
          <w:rFonts w:ascii="Arial" w:cs="Arial" w:eastAsia="Arial" w:hAnsi="Arial"/>
          <w:b/>
          <w:bCs/>
          <w:color w:val="2C2C2C"/>
          <w:sz w:val="26"/>
          <w:szCs w:val="26"/>
        </w:rPr>
        <w:t xml:space="preserve">6.5 Product Analysis Dashboard</w:t>
      </w:r>
    </w:p>
    <w:p>
      <w:pPr>
        <w:pStyle w:val="ListParagraph"/>
        <w:numPr>
          <w:ilvl w:val="0"/>
          <w:numId w:val="2"/>
        </w:numPr>
        <w:spacing w:before="60" w:after="60"/>
      </w:pPr>
      <w:r>
        <w:rPr>
          <w:rFonts w:ascii="Arial" w:cs="Arial" w:eastAsia="Arial" w:hAnsi="Arial"/>
          <w:color w:val="1A1A1A"/>
          <w:sz w:val="22"/>
          <w:szCs w:val="22"/>
        </w:rPr>
        <w:t xml:space="preserve">KPIs: $28.87 Avg Price | 77 Products | $1M Revenue</w:t>
      </w:r>
    </w:p>
    <w:p>
      <w:pPr>
        <w:pStyle w:val="ListParagraph"/>
        <w:numPr>
          <w:ilvl w:val="0"/>
          <w:numId w:val="2"/>
        </w:numPr>
        <w:spacing w:before="60" w:after="60"/>
      </w:pPr>
      <w:r>
        <w:rPr>
          <w:rFonts w:ascii="Arial" w:cs="Arial" w:eastAsia="Arial" w:hAnsi="Arial"/>
          <w:color w:val="1A1A1A"/>
          <w:sz w:val="22"/>
          <w:szCs w:val="22"/>
        </w:rPr>
        <w:t xml:space="preserve">Top Products: Côte de Blaye (~$150K), Thüringer Rostbratwurst, Raclette Courdavault</w:t>
      </w:r>
    </w:p>
    <w:p>
      <w:pPr>
        <w:pStyle w:val="ListParagraph"/>
        <w:numPr>
          <w:ilvl w:val="0"/>
          <w:numId w:val="2"/>
        </w:numPr>
        <w:spacing w:before="60" w:after="60"/>
      </w:pPr>
      <w:r>
        <w:rPr>
          <w:rFonts w:ascii="Arial" w:cs="Arial" w:eastAsia="Arial" w:hAnsi="Arial"/>
          <w:color w:val="1A1A1A"/>
          <w:sz w:val="22"/>
          <w:szCs w:val="22"/>
        </w:rPr>
        <w:t xml:space="preserve">Revenue by Category: Beverages ($270K), Dairy ($230K), Confections ($160K)</w:t>
      </w:r>
    </w:p>
    <w:p>
      <w:pPr>
        <w:pStyle w:val="ListParagraph"/>
        <w:numPr>
          <w:ilvl w:val="0"/>
          <w:numId w:val="2"/>
        </w:numPr>
        <w:spacing w:before="60" w:after="60"/>
      </w:pPr>
      <w:r>
        <w:rPr>
          <w:rFonts w:ascii="Arial" w:cs="Arial" w:eastAsia="Arial" w:hAnsi="Arial"/>
          <w:color w:val="1A1A1A"/>
          <w:sz w:val="22"/>
          <w:szCs w:val="22"/>
        </w:rPr>
        <w:t xml:space="preserve">Price Distribution: 35 products priced $26–$50; 21 in $11–$25</w:t>
      </w:r>
    </w:p>
    <w:p>
      <w:pPr>
        <w:pStyle w:val="ListParagraph"/>
        <w:numPr>
          <w:ilvl w:val="0"/>
          <w:numId w:val="2"/>
        </w:numPr>
        <w:spacing w:before="60" w:after="60"/>
      </w:pPr>
      <w:r>
        <w:rPr>
          <w:rFonts w:ascii="Arial" w:cs="Arial" w:eastAsia="Arial" w:hAnsi="Arial"/>
          <w:color w:val="1A1A1A"/>
          <w:sz w:val="22"/>
          <w:szCs w:val="22"/>
        </w:rPr>
        <w:t xml:space="preserve">Revenue vs Quantity scatter shows Côte de Blaye as clear outlier</w:t>
      </w:r>
    </w:p>
    <w:p>
      <w:pPr>
        <w:pStyle w:val="Heading2"/>
        <w:spacing w:before="280" w:after="100"/>
      </w:pPr>
      <w:r>
        <w:rPr>
          <w:rFonts w:ascii="Arial" w:cs="Arial" w:eastAsia="Arial" w:hAnsi="Arial"/>
          <w:b/>
          <w:bCs/>
          <w:color w:val="2C2C2C"/>
          <w:sz w:val="26"/>
          <w:szCs w:val="26"/>
        </w:rPr>
        <w:t xml:space="preserve">6.6 Supplier Analysis Dashboard</w:t>
      </w:r>
    </w:p>
    <w:p>
      <w:pPr>
        <w:pStyle w:val="ListParagraph"/>
        <w:numPr>
          <w:ilvl w:val="0"/>
          <w:numId w:val="2"/>
        </w:numPr>
        <w:spacing w:before="60" w:after="60"/>
      </w:pPr>
      <w:r>
        <w:rPr>
          <w:rFonts w:ascii="Arial" w:cs="Arial" w:eastAsia="Arial" w:hAnsi="Arial"/>
          <w:color w:val="1A1A1A"/>
          <w:sz w:val="22"/>
          <w:szCs w:val="22"/>
        </w:rPr>
        <w:t xml:space="preserve">KPIs: 29 Suppliers | $28.87 Avg Price | 77 Products</w:t>
      </w:r>
    </w:p>
    <w:p>
      <w:pPr>
        <w:pStyle w:val="ListParagraph"/>
        <w:numPr>
          <w:ilvl w:val="0"/>
          <w:numId w:val="2"/>
        </w:numPr>
        <w:spacing w:before="60" w:after="60"/>
      </w:pPr>
      <w:r>
        <w:rPr>
          <w:rFonts w:ascii="Arial" w:cs="Arial" w:eastAsia="Arial" w:hAnsi="Arial"/>
          <w:color w:val="1A1A1A"/>
          <w:sz w:val="22"/>
          <w:szCs w:val="22"/>
        </w:rPr>
        <w:t xml:space="preserve">Revenue Trend by Supplier: Aux joyeux ecclésiastiques and Plutzer are top performers</w:t>
      </w:r>
    </w:p>
    <w:p>
      <w:pPr>
        <w:pStyle w:val="ListParagraph"/>
        <w:numPr>
          <w:ilvl w:val="0"/>
          <w:numId w:val="2"/>
        </w:numPr>
        <w:spacing w:before="60" w:after="60"/>
      </w:pPr>
      <w:r>
        <w:rPr>
          <w:rFonts w:ascii="Arial" w:cs="Arial" w:eastAsia="Arial" w:hAnsi="Arial"/>
          <w:color w:val="1A1A1A"/>
          <w:sz w:val="22"/>
          <w:szCs w:val="22"/>
        </w:rPr>
        <w:t xml:space="preserve">Products by Supplier: Pavlova Ltd. and Plutzer supply the most products</w:t>
      </w:r>
    </w:p>
    <w:p>
      <w:pPr>
        <w:pStyle w:val="ListParagraph"/>
        <w:numPr>
          <w:ilvl w:val="0"/>
          <w:numId w:val="2"/>
        </w:numPr>
        <w:spacing w:before="60" w:after="60"/>
      </w:pPr>
      <w:r>
        <w:rPr>
          <w:rFonts w:ascii="Arial" w:cs="Arial" w:eastAsia="Arial" w:hAnsi="Arial"/>
          <w:color w:val="1A1A1A"/>
          <w:sz w:val="22"/>
          <w:szCs w:val="22"/>
        </w:rPr>
        <w:t xml:space="preserve">Avg Price by Supplier: Aux joyeux ecclésiastiques highest (~$140)</w:t>
      </w:r>
    </w:p>
    <w:p>
      <w:pPr>
        <w:pStyle w:val="ListParagraph"/>
        <w:numPr>
          <w:ilvl w:val="0"/>
          <w:numId w:val="2"/>
        </w:numPr>
        <w:spacing w:before="60" w:after="60"/>
      </w:pPr>
      <w:r>
        <w:rPr>
          <w:rFonts w:ascii="Arial" w:cs="Arial" w:eastAsia="Arial" w:hAnsi="Arial"/>
          <w:color w:val="1A1A1A"/>
          <w:sz w:val="22"/>
          <w:szCs w:val="22"/>
        </w:rPr>
        <w:t xml:space="preserve">Map: Supplier concentration in Europe; additional nodes in Australia, Japan</w:t>
      </w:r>
    </w:p>
    <w:p>
      <w:pPr>
        <w:spacing w:before="100" w:after="100"/>
      </w:pPr>
      <w:r>
        <w:t xml:space="preserve"/>
      </w:r>
    </w:p>
    <w:p>
      <w:pPr>
        <w:pStyle w:val="Heading1"/>
        <w:pBdr>
          <w:bottom w:val="single" w:color="B8860B" w:sz="4" w:space="4"/>
        </w:pBdr>
        <w:spacing w:before="400" w:after="160"/>
      </w:pPr>
      <w:r>
        <w:rPr>
          <w:rFonts w:ascii="Arial" w:cs="Arial" w:eastAsia="Arial" w:hAnsi="Arial"/>
          <w:b/>
          <w:bCs/>
          <w:color w:val="B8860B"/>
          <w:sz w:val="32"/>
          <w:szCs w:val="32"/>
        </w:rPr>
        <w:t xml:space="preserve">7. Key Insights</w:t>
      </w:r>
    </w:p>
    <w:p>
      <w:pPr>
        <w:pStyle w:val="Heading2"/>
        <w:spacing w:before="280" w:after="100"/>
      </w:pPr>
      <w:r>
        <w:rPr>
          <w:rFonts w:ascii="Arial" w:cs="Arial" w:eastAsia="Arial" w:hAnsi="Arial"/>
          <w:b/>
          <w:bCs/>
          <w:color w:val="2C2C2C"/>
          <w:sz w:val="26"/>
          <w:szCs w:val="26"/>
        </w:rPr>
        <w:t xml:space="preserve">7.1 Customer</w:t>
      </w:r>
    </w:p>
    <w:p>
      <w:pPr>
        <w:pStyle w:val="ListParagraph"/>
        <w:numPr>
          <w:ilvl w:val="0"/>
          <w:numId w:val="2"/>
        </w:numPr>
        <w:spacing w:before="60" w:after="60"/>
      </w:pPr>
      <w:r>
        <w:rPr>
          <w:rFonts w:ascii="Arial" w:cs="Arial" w:eastAsia="Arial" w:hAnsi="Arial"/>
          <w:color w:val="1A1A1A"/>
          <w:sz w:val="22"/>
          <w:szCs w:val="22"/>
        </w:rPr>
        <w:t xml:space="preserve">91 customers placed 830 orders — ~9.1 avg orders per customer</w:t>
      </w:r>
    </w:p>
    <w:p>
      <w:pPr>
        <w:pStyle w:val="ListParagraph"/>
        <w:numPr>
          <w:ilvl w:val="0"/>
          <w:numId w:val="2"/>
        </w:numPr>
        <w:spacing w:before="60" w:after="60"/>
      </w:pPr>
      <w:r>
        <w:rPr>
          <w:rFonts w:ascii="Arial" w:cs="Arial" w:eastAsia="Arial" w:hAnsi="Arial"/>
          <w:color w:val="1A1A1A"/>
          <w:sz w:val="22"/>
          <w:szCs w:val="22"/>
        </w:rPr>
        <w:t xml:space="preserve">Germany and USA lead with 122 orders each</w:t>
      </w:r>
    </w:p>
    <w:p>
      <w:pPr>
        <w:pStyle w:val="ListParagraph"/>
        <w:numPr>
          <w:ilvl w:val="0"/>
          <w:numId w:val="2"/>
        </w:numPr>
        <w:spacing w:before="60" w:after="60"/>
      </w:pPr>
      <w:r>
        <w:rPr>
          <w:rFonts w:ascii="Arial" w:cs="Arial" w:eastAsia="Arial" w:hAnsi="Arial"/>
          <w:color w:val="1A1A1A"/>
          <w:sz w:val="22"/>
          <w:szCs w:val="22"/>
        </w:rPr>
        <w:t xml:space="preserve">Sales Representatives make up 45% of all customer contacts</w:t>
      </w:r>
    </w:p>
    <w:p>
      <w:pPr>
        <w:pStyle w:val="ListParagraph"/>
        <w:numPr>
          <w:ilvl w:val="0"/>
          <w:numId w:val="2"/>
        </w:numPr>
        <w:spacing w:before="60" w:after="60"/>
      </w:pPr>
      <w:r>
        <w:rPr>
          <w:rFonts w:ascii="Arial" w:cs="Arial" w:eastAsia="Arial" w:hAnsi="Arial"/>
          <w:color w:val="1A1A1A"/>
          <w:sz w:val="22"/>
          <w:szCs w:val="22"/>
        </w:rPr>
        <w:t xml:space="preserve">High-Value segment drives disproportionate revenue despite smaller count</w:t>
      </w:r>
    </w:p>
    <w:p>
      <w:pPr>
        <w:pStyle w:val="Heading2"/>
        <w:spacing w:before="280" w:after="100"/>
      </w:pPr>
      <w:r>
        <w:rPr>
          <w:rFonts w:ascii="Arial" w:cs="Arial" w:eastAsia="Arial" w:hAnsi="Arial"/>
          <w:b/>
          <w:bCs/>
          <w:color w:val="2C2C2C"/>
          <w:sz w:val="26"/>
          <w:szCs w:val="26"/>
        </w:rPr>
        <w:t xml:space="preserve">7.2 Orders &amp; Revenue</w:t>
      </w:r>
    </w:p>
    <w:p>
      <w:pPr>
        <w:pStyle w:val="ListParagraph"/>
        <w:numPr>
          <w:ilvl w:val="0"/>
          <w:numId w:val="2"/>
        </w:numPr>
        <w:spacing w:before="60" w:after="60"/>
      </w:pPr>
      <w:r>
        <w:rPr>
          <w:rFonts w:ascii="Arial" w:cs="Arial" w:eastAsia="Arial" w:hAnsi="Arial"/>
          <w:color w:val="1A1A1A"/>
          <w:sz w:val="22"/>
          <w:szCs w:val="22"/>
        </w:rPr>
        <w:t xml:space="preserve">Total revenue: $1M across 830 orders at $1,530 average order value</w:t>
      </w:r>
    </w:p>
    <w:p>
      <w:pPr>
        <w:pStyle w:val="ListParagraph"/>
        <w:numPr>
          <w:ilvl w:val="0"/>
          <w:numId w:val="2"/>
        </w:numPr>
        <w:spacing w:before="60" w:after="60"/>
      </w:pPr>
      <w:r>
        <w:rPr>
          <w:rFonts w:ascii="Arial" w:cs="Arial" w:eastAsia="Arial" w:hAnsi="Arial"/>
          <w:color w:val="1A1A1A"/>
          <w:sz w:val="22"/>
          <w:szCs w:val="22"/>
        </w:rPr>
        <w:t xml:space="preserve">Beverages + Dairy Products = ~50% of total revenue</w:t>
      </w:r>
    </w:p>
    <w:p>
      <w:pPr>
        <w:pStyle w:val="ListParagraph"/>
        <w:numPr>
          <w:ilvl w:val="0"/>
          <w:numId w:val="2"/>
        </w:numPr>
        <w:spacing w:before="60" w:after="60"/>
      </w:pPr>
      <w:r>
        <w:rPr>
          <w:rFonts w:ascii="Arial" w:cs="Arial" w:eastAsia="Arial" w:hAnsi="Arial"/>
          <w:color w:val="1A1A1A"/>
          <w:sz w:val="22"/>
          <w:szCs w:val="22"/>
        </w:rPr>
        <w:t xml:space="preserve">Order volume grew from ~20/month (Aug 1994) to ~75/month (May 1996)</w:t>
      </w:r>
    </w:p>
    <w:p>
      <w:pPr>
        <w:pStyle w:val="ListParagraph"/>
        <w:numPr>
          <w:ilvl w:val="0"/>
          <w:numId w:val="2"/>
        </w:numPr>
        <w:spacing w:before="60" w:after="60"/>
      </w:pPr>
      <w:r>
        <w:rPr>
          <w:rFonts w:ascii="Arial" w:cs="Arial" w:eastAsia="Arial" w:hAnsi="Arial"/>
          <w:color w:val="1A1A1A"/>
          <w:sz w:val="22"/>
          <w:szCs w:val="22"/>
        </w:rPr>
        <w:t xml:space="preserve">10 orders exceeded $10K — high-value outliers requiring dedicated management</w:t>
      </w:r>
    </w:p>
    <w:p>
      <w:pPr>
        <w:pStyle w:val="Heading2"/>
        <w:spacing w:before="280" w:after="100"/>
      </w:pPr>
      <w:r>
        <w:rPr>
          <w:rFonts w:ascii="Arial" w:cs="Arial" w:eastAsia="Arial" w:hAnsi="Arial"/>
          <w:b/>
          <w:bCs/>
          <w:color w:val="2C2C2C"/>
          <w:sz w:val="26"/>
          <w:szCs w:val="26"/>
        </w:rPr>
        <w:t xml:space="preserve">7.3 Employees</w:t>
      </w:r>
    </w:p>
    <w:p>
      <w:pPr>
        <w:pStyle w:val="ListParagraph"/>
        <w:numPr>
          <w:ilvl w:val="0"/>
          <w:numId w:val="2"/>
        </w:numPr>
        <w:spacing w:before="60" w:after="60"/>
      </w:pPr>
      <w:r>
        <w:rPr>
          <w:rFonts w:ascii="Arial" w:cs="Arial" w:eastAsia="Arial" w:hAnsi="Arial"/>
          <w:color w:val="1A1A1A"/>
          <w:sz w:val="22"/>
          <w:szCs w:val="22"/>
        </w:rPr>
        <w:t xml:space="preserve">9 employees generated $1M — ~$111K revenue per employee</w:t>
      </w:r>
    </w:p>
    <w:p>
      <w:pPr>
        <w:pStyle w:val="ListParagraph"/>
        <w:numPr>
          <w:ilvl w:val="0"/>
          <w:numId w:val="2"/>
        </w:numPr>
        <w:spacing w:before="60" w:after="60"/>
      </w:pPr>
      <w:r>
        <w:rPr>
          <w:rFonts w:ascii="Arial" w:cs="Arial" w:eastAsia="Arial" w:hAnsi="Arial"/>
          <w:color w:val="1A1A1A"/>
          <w:sz w:val="22"/>
          <w:szCs w:val="22"/>
        </w:rPr>
        <w:t xml:space="preserve">Margaret Peacock is top revenue generator at $233K</w:t>
      </w:r>
    </w:p>
    <w:p>
      <w:pPr>
        <w:pStyle w:val="ListParagraph"/>
        <w:numPr>
          <w:ilvl w:val="0"/>
          <w:numId w:val="2"/>
        </w:numPr>
        <w:spacing w:before="60" w:after="60"/>
      </w:pPr>
      <w:r>
        <w:rPr>
          <w:rFonts w:ascii="Arial" w:cs="Arial" w:eastAsia="Arial" w:hAnsi="Arial"/>
          <w:color w:val="1A1A1A"/>
          <w:sz w:val="22"/>
          <w:szCs w:val="22"/>
        </w:rPr>
        <w:t xml:space="preserve">Average tenure is 3 years; distribution is even across 2-, 3-, and 4-year bands</w:t>
      </w:r>
    </w:p>
    <w:p>
      <w:pPr>
        <w:pStyle w:val="ListParagraph"/>
        <w:numPr>
          <w:ilvl w:val="0"/>
          <w:numId w:val="2"/>
        </w:numPr>
        <w:spacing w:before="60" w:after="60"/>
      </w:pPr>
      <w:r>
        <w:rPr>
          <w:rFonts w:ascii="Arial" w:cs="Arial" w:eastAsia="Arial" w:hAnsi="Arial"/>
          <w:color w:val="1A1A1A"/>
          <w:sz w:val="22"/>
          <w:szCs w:val="22"/>
        </w:rPr>
        <w:t xml:space="preserve">All employees in only two locations: Seattle (USA) and London (UK)</w:t>
      </w:r>
    </w:p>
    <w:p>
      <w:pPr>
        <w:pStyle w:val="Heading2"/>
        <w:spacing w:before="280" w:after="100"/>
      </w:pPr>
      <w:r>
        <w:rPr>
          <w:rFonts w:ascii="Arial" w:cs="Arial" w:eastAsia="Arial" w:hAnsi="Arial"/>
          <w:b/>
          <w:bCs/>
          <w:color w:val="2C2C2C"/>
          <w:sz w:val="26"/>
          <w:szCs w:val="26"/>
        </w:rPr>
        <w:t xml:space="preserve">7.4 Products</w:t>
      </w:r>
    </w:p>
    <w:p>
      <w:pPr>
        <w:pStyle w:val="ListParagraph"/>
        <w:numPr>
          <w:ilvl w:val="0"/>
          <w:numId w:val="2"/>
        </w:numPr>
        <w:spacing w:before="60" w:after="60"/>
      </w:pPr>
      <w:r>
        <w:rPr>
          <w:rFonts w:ascii="Arial" w:cs="Arial" w:eastAsia="Arial" w:hAnsi="Arial"/>
          <w:color w:val="1A1A1A"/>
          <w:sz w:val="22"/>
          <w:szCs w:val="22"/>
        </w:rPr>
        <w:t xml:space="preserve">77 products across 8 categories; average price $28.87</w:t>
      </w:r>
    </w:p>
    <w:p>
      <w:pPr>
        <w:pStyle w:val="ListParagraph"/>
        <w:numPr>
          <w:ilvl w:val="0"/>
          <w:numId w:val="2"/>
        </w:numPr>
        <w:spacing w:before="60" w:after="60"/>
      </w:pPr>
      <w:r>
        <w:rPr>
          <w:rFonts w:ascii="Arial" w:cs="Arial" w:eastAsia="Arial" w:hAnsi="Arial"/>
          <w:color w:val="1A1A1A"/>
          <w:sz w:val="22"/>
          <w:szCs w:val="22"/>
        </w:rPr>
        <w:t xml:space="preserve">Côte de Blaye is the top product (~$150K revenue) — premium-price wine</w:t>
      </w:r>
    </w:p>
    <w:p>
      <w:pPr>
        <w:pStyle w:val="ListParagraph"/>
        <w:numPr>
          <w:ilvl w:val="0"/>
          <w:numId w:val="2"/>
        </w:numPr>
        <w:spacing w:before="60" w:after="60"/>
      </w:pPr>
      <w:r>
        <w:rPr>
          <w:rFonts w:ascii="Arial" w:cs="Arial" w:eastAsia="Arial" w:hAnsi="Arial"/>
          <w:color w:val="1A1A1A"/>
          <w:sz w:val="22"/>
          <w:szCs w:val="22"/>
        </w:rPr>
        <w:t xml:space="preserve">Q4 demand consistently outperforms Q1 each year</w:t>
      </w:r>
    </w:p>
    <w:p>
      <w:pPr>
        <w:pStyle w:val="ListParagraph"/>
        <w:numPr>
          <w:ilvl w:val="0"/>
          <w:numId w:val="2"/>
        </w:numPr>
        <w:spacing w:before="60" w:after="60"/>
      </w:pPr>
      <w:r>
        <w:rPr>
          <w:rFonts w:ascii="Arial" w:cs="Arial" w:eastAsia="Arial" w:hAnsi="Arial"/>
          <w:color w:val="1A1A1A"/>
          <w:sz w:val="22"/>
          <w:szCs w:val="22"/>
        </w:rPr>
        <w:t xml:space="preserve">35 of 77 products priced in $26–$50 range</w:t>
      </w:r>
    </w:p>
    <w:p>
      <w:pPr>
        <w:pStyle w:val="Heading2"/>
        <w:spacing w:before="280" w:after="100"/>
      </w:pPr>
      <w:r>
        <w:rPr>
          <w:rFonts w:ascii="Arial" w:cs="Arial" w:eastAsia="Arial" w:hAnsi="Arial"/>
          <w:b/>
          <w:bCs/>
          <w:color w:val="2C2C2C"/>
          <w:sz w:val="26"/>
          <w:szCs w:val="26"/>
        </w:rPr>
        <w:t xml:space="preserve">7.5 Suppliers</w:t>
      </w:r>
    </w:p>
    <w:p>
      <w:pPr>
        <w:pStyle w:val="ListParagraph"/>
        <w:numPr>
          <w:ilvl w:val="0"/>
          <w:numId w:val="2"/>
        </w:numPr>
        <w:spacing w:before="60" w:after="60"/>
      </w:pPr>
      <w:r>
        <w:rPr>
          <w:rFonts w:ascii="Arial" w:cs="Arial" w:eastAsia="Arial" w:hAnsi="Arial"/>
          <w:color w:val="1A1A1A"/>
          <w:sz w:val="22"/>
          <w:szCs w:val="22"/>
        </w:rPr>
        <w:t xml:space="preserve">29 suppliers across multiple countries; UK and USA have the most</w:t>
      </w:r>
    </w:p>
    <w:p>
      <w:pPr>
        <w:pStyle w:val="ListParagraph"/>
        <w:numPr>
          <w:ilvl w:val="0"/>
          <w:numId w:val="2"/>
        </w:numPr>
        <w:spacing w:before="60" w:after="60"/>
      </w:pPr>
      <w:r>
        <w:rPr>
          <w:rFonts w:ascii="Arial" w:cs="Arial" w:eastAsia="Arial" w:hAnsi="Arial"/>
          <w:color w:val="1A1A1A"/>
          <w:sz w:val="22"/>
          <w:szCs w:val="22"/>
        </w:rPr>
        <w:t xml:space="preserve">Aux joyeux ecclésiastiques leads supplier revenue (~$200K+)</w:t>
      </w:r>
    </w:p>
    <w:p>
      <w:pPr>
        <w:pStyle w:val="ListParagraph"/>
        <w:numPr>
          <w:ilvl w:val="0"/>
          <w:numId w:val="2"/>
        </w:numPr>
        <w:spacing w:before="60" w:after="60"/>
      </w:pPr>
      <w:r>
        <w:rPr>
          <w:rFonts w:ascii="Arial" w:cs="Arial" w:eastAsia="Arial" w:hAnsi="Arial"/>
          <w:color w:val="1A1A1A"/>
          <w:sz w:val="22"/>
          <w:szCs w:val="22"/>
        </w:rPr>
        <w:t xml:space="preserve">Pavlova Ltd. and Plutzer supply the most individual products</w:t>
      </w:r>
    </w:p>
    <w:p>
      <w:pPr>
        <w:pStyle w:val="ListParagraph"/>
        <w:numPr>
          <w:ilvl w:val="0"/>
          <w:numId w:val="2"/>
        </w:numPr>
        <w:spacing w:before="60" w:after="60"/>
      </w:pPr>
      <w:r>
        <w:rPr>
          <w:rFonts w:ascii="Arial" w:cs="Arial" w:eastAsia="Arial" w:hAnsi="Arial"/>
          <w:color w:val="1A1A1A"/>
          <w:sz w:val="22"/>
          <w:szCs w:val="22"/>
        </w:rPr>
        <w:t xml:space="preserve">Norway has highest average product price among supplier countries</w:t>
      </w:r>
    </w:p>
    <w:p>
      <w:pPr>
        <w:spacing w:before="100" w:after="100"/>
      </w:pPr>
      <w:r>
        <w:t xml:space="preserve"/>
      </w:r>
    </w:p>
    <w:p>
      <w:pPr>
        <w:pStyle w:val="Heading1"/>
        <w:pBdr>
          <w:bottom w:val="single" w:color="B8860B" w:sz="4" w:space="4"/>
        </w:pBdr>
        <w:spacing w:before="400" w:after="160"/>
      </w:pPr>
      <w:r>
        <w:rPr>
          <w:rFonts w:ascii="Arial" w:cs="Arial" w:eastAsia="Arial" w:hAnsi="Arial"/>
          <w:b/>
          <w:bCs/>
          <w:color w:val="B8860B"/>
          <w:sz w:val="32"/>
          <w:szCs w:val="32"/>
        </w:rPr>
        <w:t xml:space="preserve">8. Business Recommendations</w:t>
      </w:r>
    </w:p>
    <w:p>
      <w:pPr>
        <w:pStyle w:val="ListParagraph"/>
        <w:numPr>
          <w:ilvl w:val="0"/>
          <w:numId w:val="2"/>
        </w:numPr>
        <w:spacing w:before="60" w:after="60"/>
      </w:pPr>
      <w:r>
        <w:rPr>
          <w:rFonts w:ascii="Arial" w:cs="Arial" w:eastAsia="Arial" w:hAnsi="Arial"/>
          <w:b/>
          <w:bCs/>
          <w:color w:val="1A1A1A"/>
          <w:sz w:val="22"/>
          <w:szCs w:val="22"/>
        </w:rPr>
        <w:t xml:space="preserve">Retain High-Value customers: </w:t>
      </w:r>
      <w:r>
        <w:rPr>
          <w:rFonts w:ascii="Arial" w:cs="Arial" w:eastAsia="Arial" w:hAnsi="Arial"/>
          <w:color w:val="1A1A1A"/>
          <w:sz w:val="22"/>
          <w:szCs w:val="22"/>
        </w:rPr>
        <w:t xml:space="preserve">Customers with ≥10 orders and ≥$5K spend need priority account management and loyalty incentives</w:t>
      </w:r>
    </w:p>
    <w:p>
      <w:pPr>
        <w:pStyle w:val="ListParagraph"/>
        <w:numPr>
          <w:ilvl w:val="0"/>
          <w:numId w:val="2"/>
        </w:numPr>
        <w:spacing w:before="60" w:after="60"/>
      </w:pPr>
      <w:r>
        <w:rPr>
          <w:rFonts w:ascii="Arial" w:cs="Arial" w:eastAsia="Arial" w:hAnsi="Arial"/>
          <w:b/>
          <w:bCs/>
          <w:color w:val="1A1A1A"/>
          <w:sz w:val="22"/>
          <w:szCs w:val="22"/>
        </w:rPr>
        <w:t xml:space="preserve">Expand in Germany and USA: </w:t>
      </w:r>
      <w:r>
        <w:rPr>
          <w:rFonts w:ascii="Arial" w:cs="Arial" w:eastAsia="Arial" w:hAnsi="Arial"/>
          <w:color w:val="1A1A1A"/>
          <w:sz w:val="22"/>
          <w:szCs w:val="22"/>
        </w:rPr>
        <w:t xml:space="preserve">Both have 122 orders — highest volumes; dedicate regional teams or account managers</w:t>
      </w:r>
    </w:p>
    <w:p>
      <w:pPr>
        <w:pStyle w:val="ListParagraph"/>
        <w:numPr>
          <w:ilvl w:val="0"/>
          <w:numId w:val="2"/>
        </w:numPr>
        <w:spacing w:before="60" w:after="60"/>
      </w:pPr>
      <w:r>
        <w:rPr>
          <w:rFonts w:ascii="Arial" w:cs="Arial" w:eastAsia="Arial" w:hAnsi="Arial"/>
          <w:b/>
          <w:bCs/>
          <w:color w:val="1A1A1A"/>
          <w:sz w:val="22"/>
          <w:szCs w:val="22"/>
        </w:rPr>
        <w:t xml:space="preserve">Prioritise Beverages and Dairy: </w:t>
      </w:r>
      <w:r>
        <w:rPr>
          <w:rFonts w:ascii="Arial" w:cs="Arial" w:eastAsia="Arial" w:hAnsi="Arial"/>
          <w:color w:val="1A1A1A"/>
          <w:sz w:val="22"/>
          <w:szCs w:val="22"/>
        </w:rPr>
        <w:t xml:space="preserve">50% of revenue — increase stock depth and negotiate favourable supplier terms</w:t>
      </w:r>
    </w:p>
    <w:p>
      <w:pPr>
        <w:pStyle w:val="ListParagraph"/>
        <w:numPr>
          <w:ilvl w:val="0"/>
          <w:numId w:val="2"/>
        </w:numPr>
        <w:spacing w:before="60" w:after="60"/>
      </w:pPr>
      <w:r>
        <w:rPr>
          <w:rFonts w:ascii="Arial" w:cs="Arial" w:eastAsia="Arial" w:hAnsi="Arial"/>
          <w:b/>
          <w:bCs/>
          <w:color w:val="1A1A1A"/>
          <w:sz w:val="22"/>
          <w:szCs w:val="22"/>
        </w:rPr>
        <w:t xml:space="preserve">Address underperforming employees: </w:t>
      </w:r>
      <w:r>
        <w:rPr>
          <w:rFonts w:ascii="Arial" w:cs="Arial" w:eastAsia="Arial" w:hAnsi="Arial"/>
          <w:color w:val="1A1A1A"/>
          <w:sz w:val="22"/>
          <w:szCs w:val="22"/>
        </w:rPr>
        <w:t xml:space="preserve">Buchanan ($69K) and Suyama ($74K) lag — review territory, coaching, or incentive structure</w:t>
      </w:r>
    </w:p>
    <w:p>
      <w:pPr>
        <w:pStyle w:val="ListParagraph"/>
        <w:numPr>
          <w:ilvl w:val="0"/>
          <w:numId w:val="2"/>
        </w:numPr>
        <w:spacing w:before="60" w:after="60"/>
      </w:pPr>
      <w:r>
        <w:rPr>
          <w:rFonts w:ascii="Arial" w:cs="Arial" w:eastAsia="Arial" w:hAnsi="Arial"/>
          <w:b/>
          <w:bCs/>
          <w:color w:val="1A1A1A"/>
          <w:sz w:val="22"/>
          <w:szCs w:val="22"/>
        </w:rPr>
        <w:t xml:space="preserve">Secure Côte de Blaye supply: </w:t>
      </w:r>
      <w:r>
        <w:rPr>
          <w:rFonts w:ascii="Arial" w:cs="Arial" w:eastAsia="Arial" w:hAnsi="Arial"/>
          <w:color w:val="1A1A1A"/>
          <w:sz w:val="22"/>
          <w:szCs w:val="22"/>
        </w:rPr>
        <w:t xml:space="preserve">As single-product revenue outlier (~$150K), supply disruption would be material; build safety stock or backup sourcing</w:t>
      </w:r>
    </w:p>
    <w:p>
      <w:pPr>
        <w:pStyle w:val="ListParagraph"/>
        <w:numPr>
          <w:ilvl w:val="0"/>
          <w:numId w:val="2"/>
        </w:numPr>
        <w:spacing w:before="60" w:after="60"/>
      </w:pPr>
      <w:r>
        <w:rPr>
          <w:rFonts w:ascii="Arial" w:cs="Arial" w:eastAsia="Arial" w:hAnsi="Arial"/>
          <w:b/>
          <w:bCs/>
          <w:color w:val="1A1A1A"/>
          <w:sz w:val="22"/>
          <w:szCs w:val="22"/>
        </w:rPr>
        <w:t xml:space="preserve">Engage Low-Value segment: </w:t>
      </w:r>
      <w:r>
        <w:rPr>
          <w:rFonts w:ascii="Arial" w:cs="Arial" w:eastAsia="Arial" w:hAnsi="Arial"/>
          <w:color w:val="1A1A1A"/>
          <w:sz w:val="22"/>
          <w:szCs w:val="22"/>
        </w:rPr>
        <w:t xml:space="preserve">Most customers, least revenue — run conversion campaigns or minimum-order incentives</w:t>
      </w:r>
    </w:p>
    <w:p>
      <w:pPr>
        <w:pStyle w:val="ListParagraph"/>
        <w:numPr>
          <w:ilvl w:val="0"/>
          <w:numId w:val="2"/>
        </w:numPr>
        <w:spacing w:before="60" w:after="60"/>
      </w:pPr>
      <w:r>
        <w:rPr>
          <w:rFonts w:ascii="Arial" w:cs="Arial" w:eastAsia="Arial" w:hAnsi="Arial"/>
          <w:b/>
          <w:bCs/>
          <w:color w:val="1A1A1A"/>
          <w:sz w:val="22"/>
          <w:szCs w:val="22"/>
        </w:rPr>
        <w:t xml:space="preserve">Plan for Q4 demand spikes: </w:t>
      </w:r>
      <w:r>
        <w:rPr>
          <w:rFonts w:ascii="Arial" w:cs="Arial" w:eastAsia="Arial" w:hAnsi="Arial"/>
          <w:color w:val="1A1A1A"/>
          <w:sz w:val="22"/>
          <w:szCs w:val="22"/>
        </w:rPr>
        <w:t xml:space="preserve">Consistently higher Q4 demand — increase pre-Q4 procurement and stock levels</w:t>
      </w:r>
    </w:p>
    <w:p>
      <w:pPr>
        <w:pStyle w:val="ListParagraph"/>
        <w:numPr>
          <w:ilvl w:val="0"/>
          <w:numId w:val="2"/>
        </w:numPr>
        <w:spacing w:before="60" w:after="60"/>
      </w:pPr>
      <w:r>
        <w:rPr>
          <w:rFonts w:ascii="Arial" w:cs="Arial" w:eastAsia="Arial" w:hAnsi="Arial"/>
          <w:b/>
          <w:bCs/>
          <w:color w:val="1A1A1A"/>
          <w:sz w:val="22"/>
          <w:szCs w:val="22"/>
        </w:rPr>
        <w:t xml:space="preserve">Diversify concentrated-category suppliers: </w:t>
      </w:r>
      <w:r>
        <w:rPr>
          <w:rFonts w:ascii="Arial" w:cs="Arial" w:eastAsia="Arial" w:hAnsi="Arial"/>
          <w:color w:val="1A1A1A"/>
          <w:sz w:val="22"/>
          <w:szCs w:val="22"/>
        </w:rPr>
        <w:t xml:space="preserve">Categories like Grains/Cereals have few suppliers — qualify alternatives to reduce supply chain risk</w:t>
      </w:r>
    </w:p>
    <w:p>
      <w:pPr>
        <w:pStyle w:val="ListParagraph"/>
        <w:numPr>
          <w:ilvl w:val="0"/>
          <w:numId w:val="2"/>
        </w:numPr>
        <w:spacing w:before="60" w:after="60"/>
      </w:pPr>
      <w:r>
        <w:rPr>
          <w:rFonts w:ascii="Arial" w:cs="Arial" w:eastAsia="Arial" w:hAnsi="Arial"/>
          <w:b/>
          <w:bCs/>
          <w:color w:val="1A1A1A"/>
          <w:sz w:val="22"/>
          <w:szCs w:val="22"/>
        </w:rPr>
        <w:t xml:space="preserve">Review $10K+ orders: </w:t>
      </w:r>
      <w:r>
        <w:rPr>
          <w:rFonts w:ascii="Arial" w:cs="Arial" w:eastAsia="Arial" w:hAnsi="Arial"/>
          <w:color w:val="1A1A1A"/>
          <w:sz w:val="22"/>
          <w:szCs w:val="22"/>
        </w:rPr>
        <w:t xml:space="preserve">10 such orders exist — verify accuracy and identify premium account opportunities</w:t>
      </w:r>
    </w:p>
    <w:p>
      <w:pPr>
        <w:pStyle w:val="ListParagraph"/>
        <w:numPr>
          <w:ilvl w:val="0"/>
          <w:numId w:val="2"/>
        </w:numPr>
        <w:spacing w:before="60" w:after="60"/>
      </w:pPr>
      <w:r>
        <w:rPr>
          <w:rFonts w:ascii="Arial" w:cs="Arial" w:eastAsia="Arial" w:hAnsi="Arial"/>
          <w:b/>
          <w:bCs/>
          <w:color w:val="1A1A1A"/>
          <w:sz w:val="22"/>
          <w:szCs w:val="22"/>
        </w:rPr>
        <w:t xml:space="preserve">Consider mid-level management: </w:t>
      </w:r>
      <w:r>
        <w:rPr>
          <w:rFonts w:ascii="Arial" w:cs="Arial" w:eastAsia="Arial" w:hAnsi="Arial"/>
          <w:color w:val="1A1A1A"/>
          <w:sz w:val="22"/>
          <w:szCs w:val="22"/>
        </w:rPr>
        <w:t xml:space="preserve">Single VP oversees all 8 staff — high span of control; plan management structure for growth</w:t>
      </w:r>
    </w:p>
    <w:p>
      <w:pPr>
        <w:spacing w:before="100" w:after="100"/>
      </w:pPr>
      <w:r>
        <w:t xml:space="preserve"/>
      </w:r>
    </w:p>
    <w:p>
      <w:pPr>
        <w:pStyle w:val="Heading1"/>
        <w:pBdr>
          <w:bottom w:val="single" w:color="B8860B" w:sz="4" w:space="4"/>
        </w:pBdr>
        <w:spacing w:before="400" w:after="160"/>
      </w:pPr>
      <w:r>
        <w:rPr>
          <w:rFonts w:ascii="Arial" w:cs="Arial" w:eastAsia="Arial" w:hAnsi="Arial"/>
          <w:b/>
          <w:bCs/>
          <w:color w:val="B8860B"/>
          <w:sz w:val="32"/>
          <w:szCs w:val="32"/>
        </w:rPr>
        <w:t xml:space="preserve">9. Conclusion</w:t>
      </w:r>
    </w:p>
    <w:p>
      <w:pPr>
        <w:spacing w:before="80" w:after="80"/>
      </w:pPr>
      <w:r>
        <w:rPr>
          <w:rFonts w:ascii="Arial" w:cs="Arial" w:eastAsia="Arial" w:hAnsi="Arial"/>
          <w:color w:val="1A1A1A"/>
          <w:sz w:val="22"/>
          <w:szCs w:val="22"/>
        </w:rPr>
        <w:t xml:space="preserve">The Northwind Analytics project delivers a comprehensive multi-dimensional BI solution covering five business domains across the 1994–1997 trading period. Key findings confirm that Beverages and Dairy Products drive the majority of revenue, Germany and USA are dominant markets, Margaret Peacock leads individual sales, and Côte de Blaye is the standout product.</w:t>
      </w:r>
    </w:p>
    <w:p>
      <w:pPr>
        <w:spacing w:before="80" w:after="80"/>
      </w:pPr>
      <w:r>
        <w:rPr>
          <w:rFonts w:ascii="Arial" w:cs="Arial" w:eastAsia="Arial" w:hAnsi="Arial"/>
          <w:color w:val="1A1A1A"/>
          <w:sz w:val="22"/>
          <w:szCs w:val="22"/>
        </w:rPr>
        <w:t xml:space="preserve">The Power BI suite of 5 dashboards, backed by 15 SQL EDA analyses, provides a scalable, interactive reporting framework enabling year-level filtering and business stakeholder exploration. The data model and DAX measures established provide a reusable foundation for extending analysis to additional periods or business domains.</w:t>
      </w:r>
    </w:p>
    <w:p>
      <w:pPr>
        <w:spacing w:before="600"/>
        <w:jc w:val="center"/>
      </w:pPr>
      <w:r>
        <w:rPr>
          <w:rFonts w:ascii="Arial" w:cs="Arial" w:eastAsia="Arial" w:hAnsi="Arial"/>
          <w:i/>
          <w:iCs/>
          <w:color w:val="888888"/>
          <w:sz w:val="20"/>
          <w:szCs w:val="20"/>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B8860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2026-03-28T10:34:38.647Z</dcterms:created>
  <dcterms:modified xsi:type="dcterms:W3CDTF">2026-03-28T10:34:38.648Z</dcterms:modified>
</cp:coreProperties>
</file>

<file path=docProps/custom.xml><?xml version="1.0" encoding="utf-8"?>
<Properties xmlns="http://schemas.openxmlformats.org/officeDocument/2006/custom-properties" xmlns:vt="http://schemas.openxmlformats.org/officeDocument/2006/docPropsVTypes"/>
</file>