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INCORP LTD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27.03.2026</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Ram Kumar</w:t>
      </w:r>
    </w:p>
    <w:p>
      <w:pPr>
        <w:spacing w:before="0" w:after="40" w:line="240" w:lineRule="auto"/>
        <w:ind w:left="0"/>
        <w:contextualSpacing w:val="0"/>
      </w:pPr>
      <w:r>
        <w:rPr>
          <w:rFonts w:ascii="Roboto" w:hAnsi="Roboto"/>
          <w:sz w:val="22"/>
          <w:szCs w:val="22"/>
        </w:rPr>
        <w:t xml:space="preserve">ESG Manager</w:t>
      </w:r>
    </w:p>
    <w:p>
      <w:pPr>
        <w:spacing w:before="0" w:after="40" w:line="240" w:lineRule="auto"/>
        <w:ind w:left="0"/>
        <w:contextualSpacing w:val="0"/>
      </w:pPr>
      <w:r>
        <w:rPr>
          <w:rFonts w:ascii="Roboto" w:hAnsi="Roboto"/>
          <w:sz w:val="22"/>
          <w:szCs w:val="22"/>
        </w:rPr>
        <w:t xml:space="preserve">Incorp Ltd</w:t>
      </w:r>
    </w:p>
    <w:p>
      <w:pPr>
        <w:spacing w:before="0" w:after="40" w:line="240" w:lineRule="auto"/>
        <w:ind w:left="0"/>
        <w:contextualSpacing w:val="0"/>
      </w:pPr>
      <w:r>
        <w:rPr>
          <w:rFonts w:ascii="Roboto" w:hAnsi="Roboto"/>
          <w:sz w:val="22"/>
          <w:szCs w:val="22"/>
        </w:rPr>
        <w:t xml:space="preserve">Vashi</w:t>
      </w:r>
    </w:p>
    <w:p>
      <w:pPr>
        <w:spacing w:before="0" w:after="40" w:line="240" w:lineRule="auto"/>
        <w:ind w:left="0"/>
        <w:contextualSpacing w:val="0"/>
      </w:pPr>
      <w:r>
        <w:rPr>
          <w:rFonts w:ascii="Roboto" w:hAnsi="Roboto"/>
          <w:sz w:val="22"/>
          <w:szCs w:val="22"/>
        </w:rPr>
        <w:t xml:space="preserve">India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Ram,</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0"/>
          <w:szCs w:val="20"/>
        </w:rPr>
        <w:t xml:space="preserve">• aaaaaaaaaaaaaaaaaaaaaaaaaaaaaaaaaaaaaaaaaaaaaaaaaaaaaaaaaaaaaaaaaaaaaaaaaaaaaaaaaaaaaaaaaaaaaaaaaaaaaaaaaaaaaaaaaaaaaaaaaaaaaaaaaaaaaaaaaaaaaaaaaaaaaaaaaaaaaaaaaaaaaaaaaaaaaaaaaaaaaaaaaaa</w:t>
      </w:r>
    </w:p>
    <w:p>
      <w:pPr>
        <w:spacing w:before="0" w:after="60" w:line="240" w:lineRule="auto"/>
        <w:ind w:left="280" w:hanging="280"/>
        <w:contextualSpacing w:val="0"/>
      </w:pPr>
      <w:r>
        <w:rPr>
          <w:rFonts w:ascii="Roboto" w:hAnsi="Roboto"/>
          <w:sz w:val="20"/>
          <w:szCs w:val="20"/>
        </w:rPr>
        <w:t xml:space="preserve">• b</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2020,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spacing w:before="0" w:after="60" w:line="240" w:lineRule="auto"/>
              <w:ind w:left="280" w:hanging="280"/>
              <w:contextualSpacing w:val="0"/>
            </w:pPr>
            <w:r>
              <w:rPr>
                <w:rFonts w:ascii="Roboto" w:hAnsi="Roboto"/>
                <w:sz w:val="20"/>
                <w:szCs w:val="20"/>
              </w:rPr>
              <w:t xml:space="preserve">• GST laws/regulations</w:t>
            </w:r>
          </w:p>
          <w:p>
            <w:pPr>
              <w:spacing w:before="0" w:after="60" w:line="240" w:lineRule="auto"/>
              <w:ind w:left="280" w:hanging="280"/>
              <w:contextualSpacing w:val="0"/>
            </w:pPr>
            <w:r>
              <w:rPr>
                <w:rFonts w:ascii="Roboto" w:hAnsi="Roboto"/>
                <w:sz w:val="20"/>
                <w:szCs w:val="20"/>
              </w:rPr>
              <w:t xml:space="preserve">• Income Tax Act, 1961</w:t>
            </w:r>
          </w:p>
          <w:p>
            <w:pPr>
              <w:spacing w:before="0" w:after="60" w:line="240" w:lineRule="auto"/>
              <w:ind w:left="280" w:hanging="280"/>
              <w:contextualSpacing w:val="0"/>
            </w:pPr>
            <w:r>
              <w:rPr>
                <w:rFonts w:ascii="Roboto" w:hAnsi="Roboto"/>
                <w:sz w:val="20"/>
                <w:szCs w:val="20"/>
              </w:rPr>
              <w:t xml:space="preserve">• Company’s Act, 2013</w:t>
            </w:r>
          </w:p>
          <w:p>
            <w:pPr>
              <w:spacing w:before="0" w:after="60" w:line="240" w:lineRule="auto"/>
              <w:ind w:left="280" w:hanging="280"/>
              <w:contextualSpacing w:val="0"/>
            </w:pPr>
            <w:r>
              <w:rPr>
                <w:rFonts w:ascii="Roboto" w:hAnsi="Roboto"/>
                <w:sz w:val="20"/>
                <w:szCs w:val="20"/>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spacing w:before="0" w:after="60" w:line="240" w:lineRule="auto"/>
              <w:ind w:left="280" w:hanging="280"/>
              <w:contextualSpacing w:val="0"/>
            </w:pPr>
            <w:r>
              <w:rPr>
                <w:rFonts w:ascii="Roboto" w:hAnsi="Roboto"/>
                <w:sz w:val="20"/>
                <w:szCs w:val="20"/>
              </w:rPr>
              <w:t xml:space="preserve">• Company’s Act, 2013</w:t>
            </w:r>
          </w:p>
          <w:p>
            <w:pPr>
              <w:spacing w:before="0" w:after="60" w:line="240" w:lineRule="auto"/>
              <w:ind w:left="280" w:hanging="280"/>
              <w:contextualSpacing w:val="0"/>
            </w:pPr>
            <w:r>
              <w:rPr>
                <w:rFonts w:ascii="Roboto" w:hAnsi="Roboto"/>
                <w:sz w:val="20"/>
                <w:szCs w:val="20"/>
              </w:rPr>
              <w:t xml:space="preserve">• Income Tax Act, 1961</w:t>
            </w:r>
          </w:p>
          <w:p>
            <w:pPr>
              <w:spacing w:before="0" w:after="60" w:line="240" w:lineRule="auto"/>
              <w:ind w:left="280" w:hanging="280"/>
              <w:contextualSpacing w:val="0"/>
            </w:pPr>
            <w:r>
              <w:rPr>
                <w:rFonts w:ascii="Roboto" w:hAnsi="Roboto"/>
                <w:sz w:val="20"/>
                <w:szCs w:val="20"/>
              </w:rPr>
              <w:t xml:space="preserve">• Goods and Service Tax Act, 2017</w:t>
            </w:r>
          </w:p>
          <w:p>
            <w:pPr>
              <w:spacing w:before="0" w:after="60" w:line="240" w:lineRule="auto"/>
              <w:ind w:left="280" w:hanging="280"/>
              <w:contextualSpacing w:val="0"/>
            </w:pPr>
            <w:r>
              <w:rPr>
                <w:rFonts w:ascii="Roboto" w:hAnsi="Roboto"/>
                <w:sz w:val="20"/>
                <w:szCs w:val="20"/>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any fees towards regularisation of past non compliances.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B. Incorporation / Secretarial Service and Mandatory Registrations post Incorporation</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Incorporation</w:t>
            </w:r>
          </w:p>
          <w:p>
            <w:pPr>
              <w:spacing w:before="0" w:after="60" w:line="240" w:lineRule="auto"/>
              <w:ind w:left="280" w:hanging="280"/>
              <w:contextualSpacing w:val="0"/>
            </w:pPr>
            <w:r>
              <w:rPr>
                <w:rFonts w:ascii="Roboto" w:hAnsi="Roboto"/>
                <w:sz w:val="20"/>
                <w:szCs w:val="20"/>
              </w:rPr>
              <w:t xml:space="preserve">• PAN of the company included</w:t>
            </w:r>
          </w:p>
          <w:p>
            <w:pPr>
              <w:spacing w:before="0" w:after="60" w:line="240" w:lineRule="auto"/>
              <w:ind w:left="280" w:hanging="280"/>
              <w:contextualSpacing w:val="0"/>
            </w:pPr>
            <w:r>
              <w:rPr>
                <w:rFonts w:ascii="Roboto" w:hAnsi="Roboto"/>
                <w:sz w:val="20"/>
                <w:szCs w:val="20"/>
              </w:rPr>
              <w:t xml:space="preserve">• TAN of the company included</w:t>
            </w:r>
          </w:p>
          <w:p>
            <w:pPr>
              <w:spacing w:before="0" w:after="60" w:line="240" w:lineRule="auto"/>
              <w:ind w:left="280" w:hanging="280"/>
              <w:contextualSpacing w:val="0"/>
            </w:pPr>
            <w:r>
              <w:rPr>
                <w:rFonts w:ascii="Roboto" w:hAnsi="Roboto"/>
                <w:sz w:val="20"/>
                <w:szCs w:val="20"/>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Goods &amp; Service Tax (GST)</w:t>
            </w:r>
          </w:p>
          <w:p>
            <w:pPr>
              <w:spacing w:before="0" w:after="40" w:line="240" w:lineRule="auto"/>
              <w:ind w:left="0"/>
              <w:contextualSpacing w:val="0"/>
            </w:pPr>
            <w:r>
              <w:rPr>
                <w:rFonts w:ascii="Roboto" w:hAnsi="Roboto"/>
                <w:sz w:val="20"/>
                <w:szCs w:val="20"/>
              </w:rPr>
              <w:t xml:space="preserve">Registration of single location with GST authorities.</w:t>
            </w:r>
          </w:p>
          <w:p>
            <w:pPr>
              <w:spacing w:before="0" w:after="40" w:line="240" w:lineRule="auto"/>
              <w:ind w:left="0"/>
              <w:contextualSpacing w:val="0"/>
            </w:pPr>
            <w:r>
              <w:rPr>
                <w:rFonts w:ascii="Roboto" w:hAnsi="Roboto"/>
                <w:i/>
                <w:sz w:val="20"/>
                <w:szCs w:val="20"/>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FCGPR Filing with Reserve Bank of India</w:t>
            </w:r>
          </w:p>
          <w:p>
            <w:pPr>
              <w:spacing w:before="0" w:after="40" w:line="240" w:lineRule="auto"/>
              <w:ind w:left="0"/>
              <w:contextualSpacing w:val="0"/>
            </w:pPr>
            <w:r>
              <w:rPr>
                <w:rFonts w:ascii="Roboto" w:hAnsi="Roboto"/>
                <w:sz w:val="20"/>
                <w:szCs w:val="20"/>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Statutory Compliances with Registrar of Companies under Companies Act:</w:t>
            </w:r>
          </w:p>
          <w:p>
            <w:pPr>
              <w:spacing w:before="0" w:after="60" w:line="240" w:lineRule="auto"/>
              <w:ind w:left="280" w:hanging="280"/>
              <w:contextualSpacing w:val="0"/>
            </w:pPr>
            <w:r>
              <w:rPr>
                <w:rFonts w:ascii="Roboto" w:hAnsi="Roboto"/>
                <w:sz w:val="20"/>
                <w:szCs w:val="20"/>
              </w:rPr>
              <w:t xml:space="preserve">• Drafting of first board meeting documents</w:t>
            </w:r>
          </w:p>
          <w:p>
            <w:pPr>
              <w:spacing w:before="0" w:after="60" w:line="240" w:lineRule="auto"/>
              <w:ind w:left="280" w:hanging="280"/>
              <w:contextualSpacing w:val="0"/>
            </w:pPr>
            <w:r>
              <w:rPr>
                <w:rFonts w:ascii="Roboto" w:hAnsi="Roboto"/>
                <w:sz w:val="20"/>
                <w:szCs w:val="20"/>
              </w:rPr>
              <w:t xml:space="preserve">• Guidance on capital infusion in bank account</w:t>
            </w:r>
          </w:p>
          <w:p>
            <w:pPr>
              <w:spacing w:before="0" w:after="60" w:line="240" w:lineRule="auto"/>
              <w:ind w:left="280" w:hanging="280"/>
              <w:contextualSpacing w:val="0"/>
            </w:pPr>
            <w:r>
              <w:rPr>
                <w:rFonts w:ascii="Roboto" w:hAnsi="Roboto"/>
                <w:sz w:val="20"/>
                <w:szCs w:val="20"/>
              </w:rPr>
              <w:t xml:space="preserve">• File form with Ministry for commencement of business (COC)</w:t>
            </w:r>
          </w:p>
          <w:p>
            <w:pPr>
              <w:spacing w:before="0" w:after="60" w:line="240" w:lineRule="auto"/>
              <w:ind w:left="280" w:hanging="280"/>
              <w:contextualSpacing w:val="0"/>
            </w:pPr>
            <w:r>
              <w:rPr>
                <w:rFonts w:ascii="Roboto" w:hAnsi="Roboto"/>
                <w:sz w:val="20"/>
                <w:szCs w:val="20"/>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w:t>
            </w:r>
          </w:p>
        </w:tc>
      </w:tr>
    </w:tbl>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40" w:line="240" w:lineRule="auto"/>
        <w:ind w:left="280" w:hanging="280"/>
        <w:contextualSpacing w:val="0"/>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Optional registrations required post incorporation (One-time)</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Profession Tax (PT)</w:t>
            </w:r>
          </w:p>
          <w:p>
            <w:pPr>
              <w:spacing w:before="0" w:after="40" w:line="240" w:lineRule="auto"/>
              <w:ind w:left="200" w:hanging="200"/>
              <w:contextualSpacing w:val="0"/>
            </w:pPr>
            <w:r>
              <w:rPr>
                <w:rFonts w:ascii="Roboto" w:hAnsi="Roboto"/>
                <w:sz w:val="20"/>
                <w:szCs w:val="20"/>
                <w:color w:val="777777"/>
              </w:rPr>
              <w:t xml:space="preserve">• Payments and return filing for company, its employees until the company's certificate of commencement is obtained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bl>
    <w:p>
      <w:pPr>
        <w:spacing w:before="0" w:after="0" w:line="240" w:lineRule="auto"/>
        <w:contextualSpacing w:val="0"/>
      </w:pPr>
    </w:p>
    <w:p>
      <w:pPr>
        <w:spacing w:before="20" w:after="20" w:line="240" w:lineRule="auto"/>
        <w:ind w:left="0"/>
        <w:contextualSpacing w:val="0"/>
      </w:pPr>
      <w:r>
        <w:rPr>
          <w:rFonts w:ascii="Roboto" w:hAnsi="Roboto"/>
          <w:i/>
          <w:sz w:val="20"/>
          <w:szCs w:val="20"/>
        </w:rPr>
        <w:t xml:space="preserve">*For every new director’s professional tax no., there shall be additional cost of $100 per director</w:t>
      </w:r>
    </w:p>
    <w:p>
      <w:pPr>
        <w:spacing w:before="20" w:after="20" w:line="240" w:lineRule="auto"/>
        <w:ind w:left="0"/>
        <w:contextualSpacing w:val="0"/>
      </w:pPr>
      <w:r>
        <w:rPr>
          <w:rFonts w:ascii="Roboto" w:hAnsi="Roboto"/>
          <w:i/>
          <w:sz w:val="20"/>
          <w:szCs w:val="20"/>
        </w:rPr>
        <w:t xml:space="preserve">*Digital signature certificate (DSC) token can be obtained at a cost of USD 200 per applicant.</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60" w:line="240" w:lineRule="auto"/>
        <w:contextualSpacing w:val="0"/>
      </w:pPr>
    </w:p>
    <w:p>
      <w:pPr>
        <w:spacing w:before="200" w:after="120" w:line="240" w:lineRule="auto"/>
        <w:ind w:left="80"/>
        <w:contextualSpacing w:val="0"/>
      </w:pPr>
      <w:r>
        <w:rPr>
          <w:rFonts w:ascii="Roboto" w:hAnsi="Roboto"/>
          <w:b/>
          <w:sz w:val="24"/>
          <w:szCs w:val="24"/>
          <w:color w:val="C00000"/>
        </w:rPr>
        <w:t xml:space="preserve">Nominee Director and Registered Office Address Service</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Registered Office Service</w:t>
            </w:r>
          </w:p>
          <w:p>
            <w:pPr>
              <w:spacing w:before="0" w:after="0" w:line="240" w:lineRule="auto"/>
              <w:ind w:left="0"/>
              <w:contextualSpacing w:val="0"/>
            </w:pPr>
            <w:r>
              <w:rPr>
                <w:rFonts w:ascii="Roboto" w:hAnsi="Roboto"/>
                <w:sz w:val="20"/>
                <w:szCs w:val="20"/>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Nominee Director Service</w:t>
            </w:r>
          </w:p>
          <w:p>
            <w:pPr>
              <w:spacing w:before="0" w:after="40" w:line="240" w:lineRule="auto"/>
              <w:ind w:left="0"/>
              <w:jc w:val="both"/>
              <w:contextualSpacing w:val="0"/>
            </w:pPr>
            <w:r>
              <w:rPr>
                <w:rFonts w:ascii="Roboto" w:hAnsi="Roboto"/>
                <w:sz w:val="20"/>
                <w:szCs w:val="20"/>
              </w:rPr>
              <w:t xml:space="preserve">A refundable Security deposit per nominee @USD 5000 applies*. Refundable upon cessation of Nominee Director Service</w:t>
            </w:r>
          </w:p>
          <w:p>
            <w:pPr>
              <w:spacing w:before="0" w:after="40" w:line="240" w:lineRule="auto"/>
              <w:ind w:left="0"/>
              <w:jc w:val="both"/>
              <w:contextualSpacing w:val="0"/>
            </w:pPr>
            <w:r>
              <w:rPr>
                <w:rFonts w:ascii="Roboto" w:hAnsi="Roboto"/>
                <w:sz w:val="20"/>
                <w:szCs w:val="20"/>
              </w:rPr>
              <w:t xml:space="preserve">Director’s fee for attending a physical or recorded or live board meeting @USD300 per director per board meeting</w:t>
            </w:r>
          </w:p>
          <w:p>
            <w:pPr>
              <w:spacing w:before="0" w:after="40" w:line="240" w:lineRule="auto"/>
              <w:ind w:left="0"/>
              <w:jc w:val="both"/>
              <w:contextualSpacing w:val="0"/>
            </w:pPr>
            <w:r>
              <w:rPr>
                <w:rFonts w:ascii="Roboto" w:hAnsi="Roboto"/>
                <w:sz w:val="20"/>
                <w:szCs w:val="20"/>
              </w:rPr>
              <w:t xml:space="preserve">Every nominee director needs to be protected under a director’s indemnity policy. Premium of indemnity bond to be charged on actual basis.</w:t>
            </w:r>
          </w:p>
          <w:p>
            <w:pPr>
              <w:spacing w:before="0" w:after="40" w:line="240" w:lineRule="auto"/>
              <w:ind w:left="0"/>
              <w:jc w:val="both"/>
              <w:contextualSpacing w:val="0"/>
            </w:pPr>
            <w:r>
              <w:rPr>
                <w:rFonts w:ascii="Roboto" w:hAnsi="Roboto"/>
                <w:sz w:val="20"/>
                <w:szCs w:val="20"/>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w:t>
            </w:r>
          </w:p>
        </w:tc>
      </w:tr>
    </w:tbl>
    <w:p>
      <w:pPr>
        <w:spacing w:before="0" w:after="0" w:line="240" w:lineRule="auto"/>
        <w:contextualSpacing w:val="0"/>
      </w:pPr>
    </w:p>
    <w:p>
      <w:pPr>
        <w:spacing w:before="0" w:after="40" w:line="240" w:lineRule="auto"/>
        <w:ind w:left="0"/>
        <w:contextualSpacing w:val="0"/>
      </w:pPr>
      <w:r>
        <w:rPr>
          <w:rFonts w:ascii="Roboto" w:hAnsi="Roboto"/>
          <w:b/>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before="0" w:after="40" w:line="240" w:lineRule="auto"/>
        <w:ind w:left="280" w:hanging="280"/>
        <w:contextualSpacing w:val="0"/>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before="0" w:after="40" w:line="240" w:lineRule="auto"/>
        <w:ind w:left="280" w:hanging="280"/>
        <w:contextualSpacing w:val="0"/>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C.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2"/>
                <w:szCs w:val="22"/>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2"/>
                <w:szCs w:val="22"/>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2"/>
                <w:szCs w:val="22"/>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450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2"/>
                <w:szCs w:val="22"/>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 one time</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4031"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015"/>
              <w:gridCol w:w="2015"/>
            </w:tblGrid>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b/>
                      <w:sz w:val="16"/>
                      <w:szCs w:val="16"/>
                    </w:rPr>
                    <w:t xml:space="preserve">No. of transactions per month</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b/>
                      <w:sz w:val="16"/>
                      <w:szCs w:val="16"/>
                    </w:rPr>
                    <w:t xml:space="preserve">Fees per month (in USD)</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Upto 20</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200</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20 - 50</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250</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50-80</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rPr>
              <w:t xml:space="preserve">Payroll Processing** (Scope as per Annexure 3)</w:t>
            </w:r>
          </w:p>
          <w:p>
            <w:pPr>
              <w:spacing w:before="0" w:after="40" w:line="240" w:lineRule="auto"/>
              <w:contextualSpacing w:val="0"/>
            </w:pPr>
          </w:p>
          <w:tbl>
            <w:tblPr>
              <w:tblW w:w="4031"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015"/>
              <w:gridCol w:w="2015"/>
            </w:tblGrid>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b/>
                      <w:sz w:val="16"/>
                      <w:szCs w:val="16"/>
                    </w:rPr>
                    <w:t xml:space="preserve">No of employees</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b/>
                      <w:sz w:val="16"/>
                      <w:szCs w:val="16"/>
                    </w:rPr>
                    <w:t xml:space="preserve">Amount in USD per month</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Upto 10 employees</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125 USD</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11 - 20 employees</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15,000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800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pPr>
        <w:spacing w:before="200" w:after="120" w:line="240" w:lineRule="auto"/>
        <w:ind w:left="80"/>
        <w:contextualSpacing w:val="0"/>
      </w:pPr>
      <w:r>
        <w:rPr>
          <w:rFonts w:ascii="Roboto" w:hAnsi="Roboto"/>
          <w:b/>
          <w:sz w:val="24"/>
          <w:szCs w:val="24"/>
          <w:color w:val="C00000"/>
        </w:rPr>
        <w:t xml:space="preserve">D.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rPr>
              <w:t xml:space="preserve">1. Assistance in conducting Functional, Asset and Risk Analysis of the proposed transaction.</w:t>
            </w:r>
          </w:p>
          <w:p>
            <w:pPr>
              <w:spacing w:before="0" w:after="40" w:line="240" w:lineRule="auto"/>
              <w:ind w:left="0"/>
              <w:contextualSpacing w:val="0"/>
            </w:pPr>
            <w:r>
              <w:rPr>
                <w:rFonts w:ascii="Roboto" w:hAnsi="Roboto"/>
                <w:sz w:val="20"/>
                <w:szCs w:val="20"/>
              </w:rPr>
              <w:t xml:space="preserve">2. Assisting in arriving at the arm’s length price or margin range.</w:t>
            </w:r>
          </w:p>
          <w:p>
            <w:pPr>
              <w:spacing w:before="0" w:after="40" w:line="240" w:lineRule="auto"/>
              <w:ind w:left="0"/>
              <w:contextualSpacing w:val="0"/>
            </w:pPr>
            <w:r>
              <w:rPr>
                <w:rFonts w:ascii="Roboto" w:hAnsi="Roboto"/>
                <w:sz w:val="20"/>
                <w:szCs w:val="20"/>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3,000</w:t>
            </w:r>
          </w:p>
        </w:tc>
      </w:tr>
    </w:tbl>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ind w:left="0"/>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