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INCORP LTD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after="40"/>
        <w:jc w:val="both"/>
      </w:pPr>
      <w:r>
        <w:rPr>
          <w:rFonts w:ascii="Roboto" w:hAnsi="Roboto"/>
          <w:sz w:val="22"/>
          <w:szCs w:val="22"/>
        </w:rPr>
        <w:t xml:space="preserve">04. 03. 2026</w:t>
      </w:r>
    </w:p>
    <w:p>
      <w:pPr>
        <w:spacing w:after="60"/>
      </w:pPr>
    </w:p>
    <w:p>
      <w:pPr>
        <w:spacing w:after="40"/>
        <w:jc w:val="both"/>
      </w:pPr>
      <w:r>
        <w:rPr>
          <w:rFonts w:ascii="Roboto" w:hAnsi="Roboto"/>
          <w:sz w:val="22"/>
          <w:szCs w:val="22"/>
        </w:rPr>
        <w:t xml:space="preserve">Ram Kumar</w:t>
      </w:r>
    </w:p>
    <w:p>
      <w:pPr>
        <w:spacing w:after="40"/>
        <w:jc w:val="both"/>
      </w:pPr>
      <w:r>
        <w:rPr>
          <w:rFonts w:ascii="Roboto" w:hAnsi="Roboto"/>
          <w:sz w:val="22"/>
          <w:szCs w:val="22"/>
        </w:rPr>
        <w:t xml:space="preserve">ESG Manager</w:t>
      </w:r>
    </w:p>
    <w:p>
      <w:pPr>
        <w:spacing w:after="40"/>
        <w:jc w:val="both"/>
      </w:pPr>
      <w:r>
        <w:rPr>
          <w:rFonts w:ascii="Roboto" w:hAnsi="Roboto"/>
          <w:sz w:val="22"/>
          <w:szCs w:val="22"/>
        </w:rPr>
        <w:t xml:space="preserve">Incorp Ltd</w:t>
      </w:r>
    </w:p>
    <w:p>
      <w:pPr>
        <w:spacing w:after="40"/>
        <w:jc w:val="both"/>
      </w:pPr>
      <w:r>
        <w:rPr>
          <w:rFonts w:ascii="Roboto" w:hAnsi="Roboto"/>
          <w:sz w:val="22"/>
          <w:szCs w:val="22"/>
        </w:rPr>
        <w:t xml:space="preserve">Sector 17, Navi Mumbai</w:t>
      </w:r>
    </w:p>
    <w:p>
      <w:pPr>
        <w:spacing w:after="40"/>
        <w:jc w:val="both"/>
      </w:pPr>
      <w:r>
        <w:rPr>
          <w:rFonts w:ascii="Roboto" w:hAnsi="Roboto"/>
          <w:sz w:val="22"/>
          <w:szCs w:val="22"/>
        </w:rPr>
        <w:t xml:space="preserve">Maharashtra</w:t>
      </w:r>
    </w:p>
    <w:p>
      <w:pPr>
        <w:spacing w:after="40"/>
        <w:jc w:val="both"/>
      </w:pPr>
      <w:r>
        <w:rPr>
          <w:rFonts w:ascii="Roboto" w:hAnsi="Roboto"/>
          <w:sz w:val="22"/>
          <w:szCs w:val="22"/>
        </w:rPr>
        <w:t xml:space="preserve">India</w:t>
      </w:r>
    </w:p>
    <w:p>
      <w:pPr>
        <w:spacing w:after="200"/>
      </w:pPr>
    </w:p>
    <w:p>
      <w:pPr>
        <w:spacing w:after="40"/>
        <w:jc w:val="both"/>
      </w:pPr>
      <w:r>
        <w:rPr>
          <w:rFonts w:ascii="Roboto" w:hAnsi="Roboto"/>
          <w:sz w:val="22"/>
          <w:szCs w:val="22"/>
        </w:rPr>
        <w:t xml:space="preserve">Dear Ram,</w:t>
      </w:r>
    </w:p>
    <w:p>
      <w:pPr>
        <w:spacing w:after="60"/>
      </w:pPr>
    </w:p>
    <w:p>
      <w:pPr>
        <w:spacing w:after="80"/>
        <w:jc w:val="both"/>
      </w:pPr>
      <w:r>
        <w:rPr>
          <w:rFonts w:ascii="Roboto" w:hAnsi="Roboto"/>
          <w:b/>
          <w:sz w:val="20"/>
          <w:szCs w:val="20"/>
          <w:color w:val="C00000"/>
        </w:rPr>
        <w:t xml:space="preserve">RE: FEE PROPOSAL</w:t>
      </w:r>
    </w:p>
    <w:p>
      <w:pPr>
        <w:spacing w:after="40"/>
        <w:jc w:val="both"/>
      </w:pPr>
      <w:r>
        <w:rPr>
          <w:rFonts w:ascii="Roboto" w:hAnsi="Roboto"/>
          <w:sz w:val="22"/>
          <w:szCs w:val="22"/>
        </w:rPr>
        <w:t xml:space="preserve">We are pleased to be presenting our proposal to you.</w:t>
      </w:r>
    </w:p>
    <w:p>
      <w:pPr>
        <w:spacing w:after="40"/>
        <w:jc w:val="both"/>
      </w:pPr>
    </w:p>
    <w:p>
      <w:pPr>
        <w:spacing w:after="40"/>
        <w:jc w:val="both"/>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after="40"/>
        <w:jc w:val="both"/>
      </w:pPr>
    </w:p>
    <w:p>
      <w:pPr>
        <w:spacing w:after="40"/>
        <w:jc w:val="both"/>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after="40"/>
        <w:jc w:val="both"/>
      </w:pPr>
    </w:p>
    <w:p>
      <w:pPr>
        <w:spacing w:after="40"/>
        <w:jc w:val="both"/>
      </w:pPr>
      <w:r>
        <w:rPr>
          <w:rFonts w:ascii="Roboto" w:hAnsi="Roboto"/>
          <w:sz w:val="22"/>
          <w:szCs w:val="22"/>
        </w:rPr>
        <w:t xml:space="preserve">Yours Sincerely and on behalf of In.Corp,</w:t>
      </w:r>
    </w:p>
    <w:p>
      <w:pPr>
        <w:spacing w:after="40"/>
        <w:jc w:val="both"/>
      </w:pPr>
    </w:p>
    <w:p>
      <w:pPr>
        <w:spacing w:after="40"/>
        <w:jc w:val="both"/>
      </w:pPr>
    </w:p>
    <w:p>
      <w:pPr>
        <w:spacing w:after="40"/>
        <w:jc w:val="both"/>
      </w:pPr>
    </w:p>
    <w:p>
      <w:pPr>
        <w:spacing w:after="40"/>
        <w:jc w:val="both"/>
      </w:pPr>
      <w:r>
        <w:rPr>
          <w:rFonts w:ascii="Roboto" w:hAnsi="Roboto"/>
          <w:b/>
          <w:sz w:val="20"/>
          <w:szCs w:val="20"/>
        </w:rPr>
        <w:t xml:space="preserve">CA Bansi Shah</w:t>
      </w:r>
    </w:p>
    <w:p>
      <w:pPr>
        <w:spacing w:after="40"/>
        <w:jc w:val="both"/>
      </w:pPr>
      <w:r>
        <w:rPr>
          <w:rFonts w:ascii="Roboto" w:hAnsi="Roboto"/>
          <w:b/>
          <w:sz w:val="20"/>
          <w:szCs w:val="20"/>
        </w:rPr>
        <w:t xml:space="preserve">Lead – International clients group</w:t>
      </w:r>
    </w:p>
    <w:p>
      <w:pPr>
        <w:spacing w:after="40"/>
        <w:jc w:val="both"/>
      </w:pPr>
      <w:r>
        <w:rPr>
          <w:rFonts w:ascii="Roboto" w:hAnsi="Roboto"/>
          <w:b/>
          <w:sz w:val="20"/>
          <w:szCs w:val="20"/>
        </w:rPr>
        <w:t xml:space="preserve">InCorp Advisory Services Pvt Ltd</w:t>
      </w:r>
    </w:p>
    <w:p>
      <w:r>
        <w:br w:type="page"/>
      </w:r>
    </w:p>
    <w:p>
      <w:pPr>
        <w:spacing w:before="240" w:after="200"/>
      </w:pPr>
      <w:r>
        <w:rPr>
          <w:rFonts w:ascii="Roboto" w:hAnsi="Roboto"/>
          <w:b/>
          <w:sz w:val="26"/>
          <w:szCs w:val="26"/>
          <w:color w:val="C00000"/>
        </w:rPr>
        <w:t xml:space="preserve">SCOPE OF SERVICES</w:t>
      </w:r>
    </w:p>
    <w:p>
      <w:pPr>
        <w:spacing w:after="20"/>
      </w:pPr>
    </w:p>
    <w:p>
      <w:pPr>
        <w:spacing w:after="160"/>
        <w:ind w:left="200" w:hanging="200"/>
        <w:jc w:val="both"/>
      </w:pPr>
      <w:r>
        <w:rPr>
          <w:rFonts w:ascii="Roboto" w:hAnsi="Roboto"/>
          <w:sz w:val="20"/>
          <w:szCs w:val="20"/>
        </w:rPr>
        <w:t xml:space="preserve">• Pdf generation</w:t>
      </w:r>
    </w:p>
    <w:p>
      <w:pPr>
        <w:spacing w:after="160"/>
        <w:ind w:left="200" w:hanging="200"/>
        <w:jc w:val="both"/>
      </w:pPr>
      <w:r>
        <w:rPr>
          <w:rFonts w:ascii="Roboto" w:hAnsi="Roboto"/>
          <w:sz w:val="20"/>
          <w:szCs w:val="20"/>
        </w:rPr>
        <w:t xml:space="preserve">• Word generation</w:t>
      </w:r>
    </w:p>
    <w:p>
      <w:pPr>
        <w:spacing w:after="60"/>
      </w:pPr>
    </w:p>
    <w:p>
      <w:pPr>
        <w:spacing w:before="240" w:after="200"/>
      </w:pPr>
      <w:r>
        <w:rPr>
          <w:rFonts w:ascii="Roboto" w:hAnsi="Roboto"/>
          <w:b/>
          <w:sz w:val="26"/>
          <w:szCs w:val="26"/>
          <w:color w:val="C00000"/>
        </w:rPr>
        <w:t xml:space="preserve">FEES</w:t>
      </w:r>
    </w:p>
    <w:p>
      <w:pPr>
        <w:spacing w:after="40"/>
        <w:jc w:val="both"/>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after="80"/>
      </w:pPr>
    </w:p>
    <w:p>
      <w:pPr>
        <w:spacing w:before="200" w:after="120"/>
        <w:ind w:left="80"/>
      </w:pPr>
      <w:r>
        <w:rPr>
          <w:rFonts w:ascii="Roboto" w:hAnsi="Roboto"/>
          <w:b/>
          <w:sz w:val="24"/>
          <w:szCs w:val="24"/>
          <w:color w:val="C00000"/>
        </w:rPr>
        <w:t xml:space="preserve">A. One time Handover Service</w:t>
      </w:r>
    </w:p>
    <w:p>
      <w:pPr>
        <w:spacing w:after="40"/>
        <w:jc w:val="both"/>
      </w:pPr>
      <w:r>
        <w:rPr>
          <w:rFonts w:ascii="Roboto" w:hAnsi="Roboto"/>
          <w:sz w:val="22"/>
          <w:szCs w:val="22"/>
        </w:rPr>
        <w:t xml:space="preserve">Since the company has been in existence since 2025, we shall need to undertake a handover of the current financial, secretarial, payroll and other records of the company from current service provider.</w:t>
      </w:r>
    </w:p>
    <w:p>
      <w:pPr>
        <w:spacing w:after="40"/>
      </w:pPr>
    </w:p>
    <w:tbl>
      <w:tblPr>
        <w:tblStyle w:val="TableGrid"/>
        <w:tblW w:w="10656"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r>
              <w:rPr>
                <w:rFonts w:ascii="Roboto" w:hAnsi="Roboto"/>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jc w:val="both"/>
            </w:pPr>
            <w:r>
              <w:rPr>
                <w:rFonts w:ascii="Roboto" w:hAnsi="Roboto"/>
                <w:b/>
                <w:sz w:val="22"/>
                <w:szCs w:val="22"/>
                <w:color w:val="C00000"/>
              </w:rPr>
              <w:t xml:space="preserve">Handover from erstwhile service provider of various records under laws as mentioned below. This process does not entail conducting a due diligence.</w:t>
            </w:r>
          </w:p>
          <w:p>
            <w:pPr>
              <w:spacing w:after="160"/>
              <w:ind w:left="200" w:hanging="200"/>
              <w:jc w:val="both"/>
            </w:pPr>
            <w:r>
              <w:rPr>
                <w:rFonts w:ascii="Roboto" w:hAnsi="Roboto"/>
                <w:sz w:val="20"/>
                <w:szCs w:val="20"/>
              </w:rPr>
              <w:t xml:space="preserve">• GST laws/regulations</w:t>
            </w:r>
          </w:p>
          <w:p>
            <w:pPr>
              <w:spacing w:after="160"/>
              <w:ind w:left="200" w:hanging="200"/>
              <w:jc w:val="both"/>
            </w:pPr>
            <w:r>
              <w:rPr>
                <w:rFonts w:ascii="Roboto" w:hAnsi="Roboto"/>
                <w:sz w:val="20"/>
                <w:szCs w:val="20"/>
              </w:rPr>
              <w:t xml:space="preserve">• Income Tax Act, 1961</w:t>
            </w:r>
          </w:p>
          <w:p>
            <w:pPr>
              <w:spacing w:after="160"/>
              <w:ind w:left="200" w:hanging="200"/>
              <w:jc w:val="both"/>
            </w:pPr>
            <w:r>
              <w:rPr>
                <w:rFonts w:ascii="Roboto" w:hAnsi="Roboto"/>
                <w:sz w:val="20"/>
                <w:szCs w:val="20"/>
              </w:rPr>
              <w:t xml:space="preserve">• Company’s Act, 2013</w:t>
            </w:r>
          </w:p>
          <w:p>
            <w:pPr>
              <w:spacing w:after="160"/>
              <w:ind w:left="200" w:hanging="200"/>
              <w:jc w:val="both"/>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Basic due diligence from perspective of*–</w:t>
            </w:r>
          </w:p>
          <w:p>
            <w:pPr>
              <w:spacing w:after="160"/>
              <w:ind w:left="200" w:hanging="200"/>
              <w:jc w:val="both"/>
            </w:pPr>
            <w:r>
              <w:rPr>
                <w:rFonts w:ascii="Roboto" w:hAnsi="Roboto"/>
                <w:sz w:val="20"/>
                <w:szCs w:val="20"/>
              </w:rPr>
              <w:t xml:space="preserve">• Company’s Act, 2013</w:t>
            </w:r>
          </w:p>
          <w:p>
            <w:pPr>
              <w:spacing w:after="160"/>
              <w:ind w:left="200" w:hanging="200"/>
              <w:jc w:val="both"/>
            </w:pPr>
            <w:r>
              <w:rPr>
                <w:rFonts w:ascii="Roboto" w:hAnsi="Roboto"/>
                <w:sz w:val="20"/>
                <w:szCs w:val="20"/>
              </w:rPr>
              <w:t xml:space="preserve">• Income Tax Act, 1961</w:t>
            </w:r>
          </w:p>
          <w:p>
            <w:pPr>
              <w:spacing w:after="160"/>
              <w:ind w:left="200" w:hanging="200"/>
              <w:jc w:val="both"/>
            </w:pPr>
            <w:r>
              <w:rPr>
                <w:rFonts w:ascii="Roboto" w:hAnsi="Roboto"/>
                <w:sz w:val="20"/>
                <w:szCs w:val="20"/>
              </w:rPr>
              <w:t xml:space="preserve">• Goods and Service Tax Act, 2017</w:t>
            </w:r>
          </w:p>
          <w:p>
            <w:pPr>
              <w:spacing w:after="160"/>
              <w:ind w:left="200" w:hanging="200"/>
              <w:jc w:val="both"/>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500 per year</w:t>
            </w:r>
          </w:p>
        </w:tc>
      </w:tr>
    </w:tbl>
    <w:p>
      <w:pPr>
        <w:spacing w:after="20"/>
      </w:pPr>
    </w:p>
    <w:p>
      <w:pPr>
        <w:spacing w:after="40"/>
        <w:jc w:val="both"/>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any fees towards regularisation of past non compliances.</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4"/>
          <w:szCs w:val="24"/>
          <w:color w:val="C00000"/>
        </w:rPr>
        <w:t xml:space="preserve">B. Incorporation / Secretarial Service and Mandatory Registrations post Incorporation</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Roboto" w:hAnsi="Roboto"/>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Incorporation</w:t>
            </w:r>
          </w:p>
          <w:p>
            <w:pPr>
              <w:spacing w:after="160"/>
              <w:ind w:left="200" w:hanging="200"/>
              <w:jc w:val="both"/>
            </w:pPr>
            <w:r>
              <w:rPr>
                <w:rFonts w:ascii="Roboto" w:hAnsi="Roboto"/>
                <w:sz w:val="20"/>
                <w:szCs w:val="20"/>
              </w:rPr>
              <w:t xml:space="preserve">• PAN of the company included</w:t>
            </w:r>
          </w:p>
          <w:p>
            <w:pPr>
              <w:spacing w:after="160"/>
              <w:ind w:left="200" w:hanging="200"/>
              <w:jc w:val="both"/>
            </w:pPr>
            <w:r>
              <w:rPr>
                <w:rFonts w:ascii="Roboto" w:hAnsi="Roboto"/>
                <w:sz w:val="20"/>
                <w:szCs w:val="20"/>
              </w:rPr>
              <w:t xml:space="preserve">• TAN of the company included</w:t>
            </w:r>
          </w:p>
          <w:p>
            <w:pPr>
              <w:spacing w:after="160"/>
              <w:ind w:left="200" w:hanging="200"/>
              <w:jc w:val="both"/>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Goods &amp; Service Tax (GST)</w:t>
            </w:r>
          </w:p>
          <w:p>
            <w:pPr>
              <w:spacing w:after="40"/>
              <w:jc w:val="both"/>
            </w:pPr>
            <w:r>
              <w:rPr>
                <w:rFonts w:ascii="Roboto" w:hAnsi="Roboto"/>
                <w:sz w:val="22"/>
                <w:szCs w:val="22"/>
              </w:rPr>
              <w:t xml:space="preserve">Registration of single location with GST authorities.</w:t>
            </w:r>
          </w:p>
          <w:p>
            <w:pPr>
              <w:spacing w:before="40" w:after="4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FCGPR Filing with Reserve Bank of India</w:t>
            </w:r>
          </w:p>
          <w:p>
            <w:pPr>
              <w:spacing w:after="40"/>
              <w:jc w:val="both"/>
            </w:pPr>
            <w:r>
              <w:rPr>
                <w:rFonts w:ascii="Roboto" w:hAnsi="Roboto"/>
                <w:sz w:val="22"/>
                <w:szCs w:val="22"/>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Statutory Compliances with Registrar of Companies under Companies Act:</w:t>
            </w:r>
          </w:p>
          <w:p>
            <w:pPr>
              <w:spacing w:after="160"/>
              <w:ind w:left="200" w:hanging="200"/>
              <w:jc w:val="both"/>
            </w:pPr>
            <w:r>
              <w:rPr>
                <w:rFonts w:ascii="Roboto" w:hAnsi="Roboto"/>
                <w:sz w:val="20"/>
                <w:szCs w:val="20"/>
              </w:rPr>
              <w:t xml:space="preserve">• Drafting of first board meeting documents</w:t>
            </w:r>
          </w:p>
          <w:p>
            <w:pPr>
              <w:spacing w:after="160"/>
              <w:ind w:left="200" w:hanging="200"/>
              <w:jc w:val="both"/>
            </w:pPr>
            <w:r>
              <w:rPr>
                <w:rFonts w:ascii="Roboto" w:hAnsi="Roboto"/>
                <w:sz w:val="20"/>
                <w:szCs w:val="20"/>
              </w:rPr>
              <w:t xml:space="preserve">• Guidance on capital infusion in bank account</w:t>
            </w:r>
          </w:p>
          <w:p>
            <w:pPr>
              <w:spacing w:after="160"/>
              <w:ind w:left="200" w:hanging="200"/>
              <w:jc w:val="both"/>
            </w:pPr>
            <w:r>
              <w:rPr>
                <w:rFonts w:ascii="Roboto" w:hAnsi="Roboto"/>
                <w:sz w:val="20"/>
                <w:szCs w:val="20"/>
              </w:rPr>
              <w:t xml:space="preserve">• File form with Ministry for commencement of business (COC)</w:t>
            </w:r>
          </w:p>
          <w:p>
            <w:pPr>
              <w:spacing w:after="160"/>
              <w:ind w:left="200" w:hanging="200"/>
              <w:jc w:val="both"/>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500</w:t>
            </w:r>
          </w:p>
        </w:tc>
      </w:tr>
    </w:tbl>
    <w:p>
      <w:pPr>
        <w:spacing w:after="10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ind w:left="200" w:hanging="200"/>
        <w:jc w:val="both"/>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4"/>
          <w:szCs w:val="24"/>
          <w:color w:val="C00000"/>
        </w:rPr>
        <w:t xml:space="preserve">Optional registrations required post incorporation (One-time)</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Roboto" w:hAnsi="Roboto"/>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Profession Tax (PT)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250</w:t>
            </w:r>
          </w:p>
        </w:tc>
      </w:tr>
    </w:tbl>
    <w:p>
      <w:pPr>
        <w:spacing w:after="20"/>
      </w:pPr>
    </w:p>
    <w:p>
      <w:pPr>
        <w:spacing w:before="40" w:after="40"/>
      </w:pPr>
      <w:r>
        <w:rPr>
          <w:rFonts w:ascii="Roboto" w:hAnsi="Roboto"/>
          <w:i/>
          <w:sz w:val="20"/>
          <w:szCs w:val="20"/>
        </w:rPr>
        <w:t xml:space="preserve">*For every new director’s professional tax no., there shall be additional cost of $100 per director</w:t>
      </w:r>
    </w:p>
    <w:p>
      <w:pPr>
        <w:spacing w:before="40" w:after="40"/>
      </w:pPr>
      <w:r>
        <w:rPr>
          <w:rFonts w:ascii="Roboto" w:hAnsi="Roboto"/>
          <w:i/>
          <w:sz w:val="20"/>
          <w:szCs w:val="20"/>
        </w:rPr>
        <w:t xml:space="preserve">*Digital signature certificate (DSC) token can be obtained at a cost of USD 200 per applicant.</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4"/>
          <w:szCs w:val="24"/>
          <w:color w:val="C00000"/>
        </w:rPr>
        <w:t xml:space="preserve">Nominee Director and Registered Office Address Service</w:t>
      </w:r>
    </w:p>
    <w:p>
      <w:pPr>
        <w:spacing w:after="4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Roboto" w:hAnsi="Roboto"/>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Registered Office Service</w:t>
            </w:r>
          </w:p>
          <w:p>
            <w:pPr/>
            <w:r>
              <w:rPr>
                <w:rFonts w:ascii="Roboto" w:hAnsi="Roboto"/>
                <w:sz w:val="20"/>
                <w:szCs w:val="20"/>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2"/>
                <w:szCs w:val="22"/>
                <w:color w:val="C00000"/>
              </w:rPr>
              <w:t xml:space="preserve">Nominee Director Service</w:t>
            </w:r>
          </w:p>
          <w:p>
            <w:pPr>
              <w:spacing w:after="40"/>
              <w:jc w:val="both"/>
            </w:pPr>
            <w:r>
              <w:rPr>
                <w:rFonts w:ascii="Roboto" w:hAnsi="Roboto"/>
                <w:sz w:val="20"/>
                <w:szCs w:val="20"/>
              </w:rPr>
              <w:t xml:space="preserve">A refundable Security deposit per nominee @USD 5000 applies*. Refundable upon cessation of Nominee Director Service</w:t>
            </w:r>
          </w:p>
          <w:p>
            <w:pPr>
              <w:spacing w:after="40"/>
              <w:jc w:val="both"/>
            </w:pPr>
            <w:r>
              <w:rPr>
                <w:rFonts w:ascii="Roboto" w:hAnsi="Roboto"/>
                <w:sz w:val="20"/>
                <w:szCs w:val="20"/>
              </w:rPr>
              <w:t xml:space="preserve">Director’s fee for attending a physical or recorded or live board meeting @USD300 per director per board meeting</w:t>
            </w:r>
          </w:p>
          <w:p>
            <w:pPr>
              <w:spacing w:after="40"/>
              <w:jc w:val="both"/>
            </w:pPr>
            <w:r>
              <w:rPr>
                <w:rFonts w:ascii="Roboto" w:hAnsi="Roboto"/>
                <w:sz w:val="20"/>
                <w:szCs w:val="20"/>
              </w:rPr>
              <w:t xml:space="preserve">Every nominee director needs to be protected under a director’s indemnity policy. Premium of indemnity bond to be charged on actual basis.</w:t>
            </w:r>
          </w:p>
          <w:p>
            <w:pPr>
              <w:spacing w:after="40"/>
              <w:jc w:val="both"/>
            </w:pPr>
            <w:r>
              <w:rPr>
                <w:rFonts w:ascii="Roboto" w:hAnsi="Roboto"/>
                <w:sz w:val="20"/>
                <w:szCs w:val="20"/>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350</w:t>
            </w:r>
          </w:p>
        </w:tc>
      </w:tr>
    </w:tbl>
    <w:p>
      <w:pPr>
        <w:spacing w:after="40"/>
      </w:pPr>
    </w:p>
    <w:p>
      <w:pPr>
        <w:spacing w:after="4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after="20"/>
      </w:pPr>
    </w:p>
    <w:p>
      <w:pPr>
        <w:spacing w:after="4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after="20"/>
      </w:pPr>
    </w:p>
    <w:p>
      <w:pPr>
        <w:spacing w:after="4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after="40"/>
        <w:ind w:left="200" w:hanging="200"/>
        <w:jc w:val="both"/>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after="40"/>
        <w:ind w:left="200" w:hanging="200"/>
        <w:jc w:val="both"/>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4"/>
          <w:szCs w:val="24"/>
          <w:color w:val="C00000"/>
        </w:rPr>
        <w:t xml:space="preserve">C. Accounting / Tax / Payroll / Annual Compliance Services</w:t>
      </w:r>
    </w:p>
    <w:p>
      <w:pPr>
        <w:spacing w:after="40"/>
      </w:pPr>
    </w:p>
    <w:p>
      <w:pPr>
        <w:spacing w:after="40"/>
        <w:jc w:val="both"/>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after="60"/>
      </w:pPr>
    </w:p>
    <w:tbl>
      <w:tblPr>
        <w:tblStyle w:val="TableGrid"/>
        <w:tblW w:w="10368"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r>
              <w:rPr>
                <w:rFonts w:ascii="Roboto" w:hAnsi="Roboto"/>
                <w:b/>
                <w:sz w:val="20"/>
                <w:szCs w:val="20"/>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r>
              <w:rPr>
                <w:rFonts w:ascii="Roboto" w:hAnsi="Roboto"/>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1) Advance tax Compliances</w:t>
            </w:r>
          </w:p>
          <w:p>
            <w:pPr>
              <w:spacing w:after="40"/>
              <w:jc w:val="both"/>
            </w:pPr>
            <w:r>
              <w:rPr>
                <w:rFonts w:ascii="Roboto" w:hAnsi="Roboto"/>
                <w:sz w:val="22"/>
                <w:szCs w:val="22"/>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2) TDS compliances:</w:t>
            </w:r>
          </w:p>
          <w:p>
            <w:pPr>
              <w:spacing w:after="40"/>
              <w:jc w:val="both"/>
            </w:pPr>
            <w:r>
              <w:rPr>
                <w:rFonts w:ascii="Roboto" w:hAnsi="Roboto"/>
                <w:sz w:val="22"/>
                <w:szCs w:val="22"/>
              </w:rPr>
              <w:t xml:space="preserve">• Calculation and Payment of TDS</w:t>
            </w:r>
          </w:p>
          <w:p>
            <w:pPr>
              <w:spacing w:after="40"/>
              <w:jc w:val="both"/>
            </w:pPr>
            <w:r>
              <w:rPr>
                <w:rFonts w:ascii="Roboto" w:hAnsi="Roboto"/>
                <w:sz w:val="22"/>
                <w:szCs w:val="22"/>
              </w:rPr>
              <w:t xml:space="preserve">• Filing of TDS Returns</w:t>
            </w:r>
          </w:p>
          <w:p>
            <w:pPr>
              <w:spacing w:after="40"/>
              <w:jc w:val="both"/>
            </w:pPr>
            <w:r>
              <w:rPr>
                <w:rFonts w:ascii="Roboto" w:hAnsi="Roboto"/>
                <w:sz w:val="22"/>
                <w:szCs w:val="22"/>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3) Annual Income tax return</w:t>
            </w:r>
          </w:p>
          <w:p>
            <w:pPr>
              <w:spacing w:after="40"/>
              <w:jc w:val="both"/>
            </w:pPr>
            <w:r>
              <w:rPr>
                <w:rFonts w:ascii="Roboto" w:hAnsi="Roboto"/>
                <w:sz w:val="22"/>
                <w:szCs w:val="22"/>
              </w:rPr>
              <w:t xml:space="preserve">Computation and filing of Annual Income tax Return</w:t>
            </w:r>
          </w:p>
          <w:p>
            <w:pPr>
              <w:spacing w:after="40"/>
              <w:jc w:val="both"/>
            </w:pPr>
            <w:r>
              <w:rPr>
                <w:rFonts w:ascii="Roboto" w:hAnsi="Roboto"/>
                <w:sz w:val="22"/>
                <w:szCs w:val="22"/>
              </w:rPr>
              <w:t xml:space="preserve">4) Statement of Financial Transactions (SFT) –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1) GST Compliances:</w:t>
            </w:r>
          </w:p>
          <w:p>
            <w:pPr>
              <w:spacing w:after="40"/>
              <w:jc w:val="both"/>
            </w:pPr>
            <w:r>
              <w:rPr>
                <w:rFonts w:ascii="Roboto" w:hAnsi="Roboto"/>
                <w:sz w:val="22"/>
                <w:szCs w:val="22"/>
              </w:rPr>
              <w:t xml:space="preserve">• Calculations and payment of GST</w:t>
            </w:r>
          </w:p>
          <w:p>
            <w:pPr>
              <w:spacing w:after="40"/>
              <w:jc w:val="both"/>
            </w:pPr>
            <w:r>
              <w:rPr>
                <w:rFonts w:ascii="Roboto" w:hAnsi="Roboto"/>
                <w:sz w:val="22"/>
                <w:szCs w:val="22"/>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Company Law Compliances (Scope as per Annexure 1)</w:t>
            </w:r>
          </w:p>
          <w:p>
            <w:pPr>
              <w:spacing w:after="40"/>
              <w:jc w:val="both"/>
            </w:pPr>
            <w:r>
              <w:rPr>
                <w:rFonts w:ascii="Roboto" w:hAnsi="Roboto"/>
                <w:sz w:val="22"/>
                <w:szCs w:val="22"/>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Setup of accounting software</w:t>
            </w:r>
          </w:p>
          <w:p>
            <w:pPr>
              <w:spacing w:after="40"/>
              <w:jc w:val="both"/>
            </w:pPr>
            <w:r>
              <w:rPr>
                <w:rFonts w:ascii="Roboto" w:hAnsi="Roboto"/>
                <w:sz w:val="22"/>
                <w:szCs w:val="22"/>
              </w:rPr>
              <w:t xml:space="preserve">• Liaison with the software expert for the setup</w:t>
            </w:r>
          </w:p>
          <w:p>
            <w:pPr>
              <w:spacing w:after="40"/>
              <w:jc w:val="both"/>
            </w:pPr>
            <w:r>
              <w:rPr>
                <w:rFonts w:ascii="Roboto" w:hAnsi="Roboto"/>
                <w:sz w:val="22"/>
                <w:szCs w:val="22"/>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300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b/>
                <w:u w:val="single"/>
                <w:sz w:val="20"/>
                <w:szCs w:val="20"/>
              </w:rPr>
              <w:t xml:space="preserve">Accounting and maintenance of books of accounts:</w:t>
            </w:r>
          </w:p>
          <w:p>
            <w:pPr>
              <w:spacing w:after="40"/>
              <w:jc w:val="both"/>
            </w:pPr>
            <w:r>
              <w:rPr>
                <w:rFonts w:ascii="Roboto" w:hAnsi="Roboto"/>
                <w:sz w:val="22"/>
                <w:szCs w:val="22"/>
              </w:rPr>
              <w:t xml:space="preserve">• Data entry in accounting software</w:t>
            </w:r>
          </w:p>
          <w:p>
            <w:pPr>
              <w:spacing w:after="40"/>
              <w:jc w:val="both"/>
            </w:pPr>
            <w:r>
              <w:rPr>
                <w:rFonts w:ascii="Roboto" w:hAnsi="Roboto"/>
                <w:sz w:val="22"/>
                <w:szCs w:val="22"/>
              </w:rPr>
              <w:t xml:space="preserve">• Weekly processing of Bank Reconciliation</w:t>
            </w:r>
          </w:p>
          <w:p>
            <w:pPr>
              <w:spacing w:after="40"/>
              <w:jc w:val="both"/>
            </w:pPr>
            <w:r>
              <w:rPr>
                <w:rFonts w:ascii="Roboto" w:hAnsi="Roboto"/>
                <w:sz w:val="22"/>
                <w:szCs w:val="22"/>
              </w:rPr>
              <w:t xml:space="preserve">• Weekly processing of Purchase invoices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 Preparation of the financial Statements as per the Indian accounting Standards</w:t>
            </w:r>
          </w:p>
          <w:p>
            <w:pPr>
              <w:spacing w:after="40"/>
              <w:jc w:val="both"/>
            </w:pPr>
            <w:r>
              <w:rPr>
                <w:rFonts w:ascii="Roboto" w:hAnsi="Roboto"/>
                <w:sz w:val="22"/>
                <w:szCs w:val="22"/>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Obtaining Shop and establishment registration</w:t>
            </w:r>
          </w:p>
          <w:p>
            <w:pPr>
              <w:spacing w:after="40"/>
              <w:jc w:val="both"/>
            </w:pPr>
            <w:r>
              <w:rPr>
                <w:rFonts w:ascii="Roboto" w:hAnsi="Roboto"/>
                <w:sz w:val="22"/>
                <w:szCs w:val="22"/>
              </w:rPr>
              <w:t xml:space="preserve">2. Drafting of POSH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Payroll Processing (Scope as per Annexure 3)</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125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Labour Law Compliances:</w:t>
            </w:r>
          </w:p>
          <w:p>
            <w:pPr>
              <w:spacing w:after="40"/>
              <w:jc w:val="both"/>
            </w:pPr>
            <w:r>
              <w:rPr>
                <w:rFonts w:ascii="Roboto" w:hAnsi="Roboto"/>
                <w:sz w:val="22"/>
                <w:szCs w:val="22"/>
              </w:rPr>
              <w:t xml:space="preserve">• Provident Fund</w:t>
            </w:r>
          </w:p>
          <w:p>
            <w:pPr>
              <w:spacing w:after="40"/>
              <w:jc w:val="both"/>
            </w:pPr>
            <w:r>
              <w:rPr>
                <w:rFonts w:ascii="Roboto" w:hAnsi="Roboto"/>
                <w:sz w:val="22"/>
                <w:szCs w:val="22"/>
              </w:rPr>
              <w:t xml:space="preserve">• Employees State Insurance Corporation</w:t>
            </w:r>
          </w:p>
          <w:p>
            <w:pPr>
              <w:spacing w:after="40"/>
              <w:jc w:val="both"/>
            </w:pPr>
            <w:r>
              <w:rPr>
                <w:rFonts w:ascii="Roboto" w:hAnsi="Roboto"/>
                <w:sz w:val="22"/>
                <w:szCs w:val="22"/>
              </w:rPr>
              <w:t xml:space="preserve">• Profession Tax</w:t>
            </w:r>
          </w:p>
          <w:p>
            <w:pPr>
              <w:spacing w:after="40"/>
              <w:jc w:val="both"/>
            </w:pPr>
            <w:r>
              <w:rPr>
                <w:rFonts w:ascii="Roboto" w:hAnsi="Roboto"/>
                <w:sz w:val="22"/>
                <w:szCs w:val="22"/>
              </w:rPr>
              <w:t xml:space="preserve">• Labor Welfare Fund</w:t>
            </w:r>
          </w:p>
          <w:p>
            <w:pPr>
              <w:spacing w:after="40"/>
              <w:jc w:val="both"/>
            </w:pPr>
            <w:r>
              <w:rPr>
                <w:rFonts w:ascii="Roboto" w:hAnsi="Roboto"/>
                <w:sz w:val="22"/>
                <w:szCs w:val="22"/>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Return under:</w:t>
            </w:r>
          </w:p>
          <w:p>
            <w:pPr>
              <w:spacing w:after="40"/>
              <w:jc w:val="both"/>
            </w:pPr>
            <w:r>
              <w:rPr>
                <w:rFonts w:ascii="Roboto" w:hAnsi="Roboto"/>
                <w:sz w:val="22"/>
                <w:szCs w:val="22"/>
              </w:rPr>
              <w:t xml:space="preserve">• Sexual Harassment of Women at Workplace Act, 2013</w:t>
            </w:r>
          </w:p>
          <w:p>
            <w:pPr>
              <w:spacing w:after="40"/>
              <w:jc w:val="both"/>
            </w:pPr>
            <w:r>
              <w:rPr>
                <w:rFonts w:ascii="Roboto" w:hAnsi="Roboto"/>
                <w:sz w:val="22"/>
                <w:szCs w:val="22"/>
              </w:rPr>
              <w:t xml:space="preserve">• Shop and Establishment Act</w:t>
            </w:r>
          </w:p>
          <w:p>
            <w:pPr>
              <w:spacing w:after="40"/>
              <w:jc w:val="both"/>
            </w:pPr>
            <w:r>
              <w:rPr>
                <w:rFonts w:ascii="Roboto" w:hAnsi="Roboto"/>
                <w:sz w:val="22"/>
                <w:szCs w:val="22"/>
              </w:rPr>
              <w:t xml:space="preserve">• Maternity Act</w:t>
            </w:r>
          </w:p>
          <w:p>
            <w:pPr>
              <w:spacing w:after="40"/>
              <w:jc w:val="both"/>
            </w:pPr>
            <w:r>
              <w:rPr>
                <w:rFonts w:ascii="Roboto" w:hAnsi="Roboto"/>
                <w:sz w:val="22"/>
                <w:szCs w:val="22"/>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200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rPr>
              <w:t xml:space="preserve">1,300 one time</w:t>
            </w:r>
          </w:p>
        </w:tc>
      </w:tr>
    </w:tbl>
    <w:p>
      <w:pPr>
        <w:spacing w:after="40"/>
      </w:pPr>
    </w:p>
    <w:p>
      <w:pPr>
        <w:spacing w:before="40" w:after="40"/>
      </w:pPr>
      <w:r>
        <w:rPr>
          <w:rFonts w:ascii="Roboto" w:hAnsi="Roboto"/>
          <w:i/>
          <w:sz w:val="20"/>
          <w:szCs w:val="20"/>
        </w:rPr>
        <w:t xml:space="preserve">*The above quotation fee is for approx.20 transactions per month</w:t>
      </w:r>
    </w:p>
    <w:p>
      <w:pPr>
        <w:spacing w:after="40"/>
      </w:pPr>
    </w:p>
    <w:p>
      <w:pPr>
        <w:spacing w:before="40" w:after="4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after="40"/>
      </w:pPr>
    </w:p>
    <w:p>
      <w:pPr>
        <w:spacing w:before="40" w:after="4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government/statutory fees etc.</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200" w:after="120"/>
        <w:ind w:left="80"/>
      </w:pPr>
      <w:r>
        <w:rPr>
          <w:rFonts w:ascii="Roboto" w:hAnsi="Roboto"/>
          <w:b/>
          <w:sz w:val="24"/>
          <w:szCs w:val="24"/>
          <w:color w:val="C00000"/>
        </w:rPr>
        <w:t xml:space="preserve">D. Transfer Pricing compliances</w:t>
      </w:r>
    </w:p>
    <w:p>
      <w:pPr>
        <w:spacing w:after="40"/>
      </w:pPr>
    </w:p>
    <w:tbl>
      <w:tblPr>
        <w:tblStyle w:val="TableGrid"/>
        <w:tblW w:w="10368"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r>
              <w:rPr>
                <w:rFonts w:ascii="Roboto" w:hAnsi="Roboto"/>
                <w:b/>
                <w:sz w:val="20"/>
                <w:szCs w:val="20"/>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r>
              <w:rPr>
                <w:rFonts w:ascii="Roboto" w:hAnsi="Roboto"/>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Roboto" w:hAnsi="Roboto"/>
                <w:b/>
                <w:sz w:val="20"/>
                <w:szCs w:val="20"/>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Assistance in conducting Functional, Asset and Risk Analysis of the proposed transaction.</w:t>
            </w:r>
          </w:p>
          <w:p>
            <w:pPr>
              <w:spacing w:after="40"/>
              <w:jc w:val="both"/>
            </w:pPr>
            <w:r>
              <w:rPr>
                <w:rFonts w:ascii="Roboto" w:hAnsi="Roboto"/>
                <w:sz w:val="22"/>
                <w:szCs w:val="22"/>
              </w:rPr>
              <w:t xml:space="preserve">2. Assisting in arriving at the arm’s length price or margin range.</w:t>
            </w:r>
          </w:p>
          <w:p>
            <w:pPr>
              <w:spacing w:after="40"/>
              <w:jc w:val="both"/>
            </w:pPr>
            <w:r>
              <w:rPr>
                <w:rFonts w:ascii="Roboto" w:hAnsi="Roboto"/>
                <w:sz w:val="22"/>
                <w:szCs w:val="22"/>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sz w:val="20"/>
                <w:szCs w:val="20"/>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rPr>
              <w:t xml:space="preserve">3,000</w:t>
            </w:r>
          </w:p>
        </w:tc>
      </w:tr>
    </w:tbl>
    <w:p>
      <w:pPr>
        <w:spacing w:after="60"/>
      </w:pPr>
    </w:p>
    <w:p>
      <w:pPr>
        <w:spacing w:before="40" w:after="4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after="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w:t>
      </w:r>
    </w:p>
    <w:p>
      <w:pPr>
        <w:spacing w:after="40"/>
        <w:ind w:left="200" w:hanging="200"/>
        <w:jc w:val="both"/>
      </w:pPr>
      <w:r>
        <w:rPr>
          <w:rFonts w:ascii="Roboto" w:hAnsi="Roboto"/>
          <w:sz w:val="20"/>
          <w:szCs w:val="20"/>
        </w:rPr>
        <w:t xml:space="preserve">• Advance of 100% of the above selected option.</w:t>
      </w:r>
    </w:p>
    <w:p>
      <w:pPr>
        <w:spacing w:after="4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40" w:after="4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