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INCORP</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0"/>
          <w:szCs w:val="20"/>
        </w:rPr>
        <w:t xml:space="preserve">24. 01. 2025</w:t>
      </w:r>
    </w:p>
    <w:p>
      <w:pPr>
        <w:spacing w:after="60"/>
      </w:pPr>
    </w:p>
    <w:p>
      <w:pPr>
        <w:spacing w:after="40"/>
        <w:jc w:val="both"/>
      </w:pPr>
      <w:r>
        <w:rPr>
          <w:rFonts w:ascii="Roboto" w:hAnsi="Roboto"/>
          <w:sz w:val="20"/>
          <w:szCs w:val="20"/>
        </w:rPr>
        <w:t xml:space="preserve">Harshali</w:t>
      </w:r>
    </w:p>
    <w:p>
      <w:pPr>
        <w:spacing w:after="40"/>
        <w:jc w:val="both"/>
      </w:pPr>
      <w:r>
        <w:rPr>
          <w:rFonts w:ascii="Roboto" w:hAnsi="Roboto"/>
          <w:sz w:val="20"/>
          <w:szCs w:val="20"/>
        </w:rPr>
        <w:t xml:space="preserve">Intern</w:t>
      </w:r>
    </w:p>
    <w:p>
      <w:pPr>
        <w:spacing w:after="40"/>
        <w:jc w:val="both"/>
      </w:pPr>
      <w:r>
        <w:rPr>
          <w:rFonts w:ascii="Roboto" w:hAnsi="Roboto"/>
          <w:sz w:val="20"/>
          <w:szCs w:val="20"/>
        </w:rPr>
        <w:t xml:space="preserve">Incorp</w:t>
      </w:r>
    </w:p>
    <w:p>
      <w:pPr>
        <w:spacing w:after="40"/>
        <w:jc w:val="both"/>
      </w:pPr>
      <w:r>
        <w:rPr>
          <w:rFonts w:ascii="Roboto" w:hAnsi="Roboto"/>
          <w:sz w:val="20"/>
          <w:szCs w:val="20"/>
        </w:rPr>
        <w:t xml:space="preserve">Vashi</w:t>
      </w:r>
    </w:p>
    <w:p>
      <w:pPr>
        <w:spacing w:after="40"/>
        <w:jc w:val="both"/>
      </w:pPr>
      <w:r>
        <w:rPr>
          <w:rFonts w:ascii="Roboto" w:hAnsi="Roboto"/>
          <w:sz w:val="20"/>
          <w:szCs w:val="20"/>
        </w:rPr>
        <w:t xml:space="preserve">Maharashtra</w:t>
      </w:r>
    </w:p>
    <w:p>
      <w:pPr>
        <w:spacing w:after="40"/>
        <w:jc w:val="both"/>
      </w:pPr>
      <w:r>
        <w:rPr>
          <w:rFonts w:ascii="Roboto" w:hAnsi="Roboto"/>
          <w:sz w:val="20"/>
          <w:szCs w:val="20"/>
        </w:rPr>
        <w:t xml:space="preserve">India</w:t>
      </w:r>
    </w:p>
    <w:p>
      <w:pPr>
        <w:spacing w:after="200"/>
      </w:pPr>
    </w:p>
    <w:p>
      <w:pPr>
        <w:spacing w:after="40"/>
        <w:jc w:val="both"/>
      </w:pPr>
      <w:r>
        <w:rPr>
          <w:rFonts w:ascii="Roboto" w:hAnsi="Roboto"/>
          <w:sz w:val="20"/>
          <w:szCs w:val="20"/>
        </w:rPr>
        <w:t xml:space="preserve">Dear Harshali,</w:t>
      </w:r>
    </w:p>
    <w:p>
      <w:pPr>
        <w:spacing w:after="60"/>
      </w:pPr>
    </w:p>
    <w:p>
      <w:pPr>
        <w:spacing w:after="80"/>
        <w:jc w:val="both"/>
      </w:pPr>
      <w:r>
        <w:rPr>
          <w:rFonts w:ascii="Roboto" w:hAnsi="Roboto"/>
          <w:b/>
          <w:sz w:val="18"/>
          <w:szCs w:val="18"/>
          <w:color w:val="C00000"/>
        </w:rPr>
        <w:t xml:space="preserve">RE: FEE PROPOSAL</w:t>
      </w:r>
    </w:p>
    <w:p>
      <w:pPr>
        <w:spacing w:after="40"/>
        <w:jc w:val="both"/>
      </w:pPr>
      <w:r>
        <w:rPr>
          <w:rFonts w:ascii="Roboto" w:hAnsi="Roboto"/>
          <w:sz w:val="20"/>
          <w:szCs w:val="20"/>
        </w:rPr>
        <w:t xml:space="preserve">We are pleased to be presenting our proposal to you.</w:t>
      </w:r>
    </w:p>
    <w:p>
      <w:pPr>
        <w:spacing w:after="40"/>
        <w:jc w:val="both"/>
      </w:pPr>
    </w:p>
    <w:p>
      <w:pPr>
        <w:spacing w:after="40"/>
        <w:jc w:val="both"/>
      </w:pPr>
      <w:r>
        <w:rPr>
          <w:rFonts w:ascii="Roboto" w:hAnsi="Roboto"/>
          <w:sz w:val="20"/>
          <w:szCs w:val="20"/>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0"/>
          <w:szCs w:val="20"/>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0"/>
          <w:szCs w:val="20"/>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0"/>
          <w:szCs w:val="20"/>
        </w:rPr>
        <w:t xml:space="preserve">CA Bansi Shah</w:t>
      </w:r>
    </w:p>
    <w:p>
      <w:pPr>
        <w:spacing w:after="40"/>
        <w:jc w:val="both"/>
      </w:pPr>
      <w:r>
        <w:rPr>
          <w:rFonts w:ascii="Roboto" w:hAnsi="Roboto"/>
          <w:b/>
          <w:sz w:val="20"/>
          <w:szCs w:val="20"/>
        </w:rPr>
        <w:t xml:space="preserve">Lead – International clients group</w:t>
      </w:r>
    </w:p>
    <w:p>
      <w:pPr>
        <w:spacing w:after="40"/>
        <w:jc w:val="both"/>
      </w:pPr>
      <w:r>
        <w:rPr>
          <w:rFonts w:ascii="Roboto" w:hAnsi="Roboto"/>
          <w:b/>
          <w:sz w:val="20"/>
          <w:szCs w:val="20"/>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40"/>
        <w:ind w:left="200" w:hanging="200"/>
        <w:jc w:val="both"/>
      </w:pPr>
      <w:r>
        <w:rPr>
          <w:rFonts w:ascii="Roboto" w:hAnsi="Roboto"/>
          <w:sz w:val="20"/>
          <w:szCs w:val="20"/>
        </w:rPr>
        <w:t xml:space="preserve">• Pdf testing</w:t>
      </w:r>
    </w:p>
    <w:p>
      <w:pPr>
        <w:spacing w:after="40"/>
        <w:ind w:left="200" w:hanging="200"/>
        <w:jc w:val="both"/>
      </w:pPr>
      <w:r>
        <w:rPr>
          <w:rFonts w:ascii="Roboto" w:hAnsi="Roboto"/>
          <w:sz w:val="20"/>
          <w:szCs w:val="20"/>
        </w:rPr>
        <w:t xml:space="preserve">• Word generation</w:t>
      </w:r>
    </w:p>
    <w:p>
      <w:pPr>
        <w:spacing w:after="60"/>
      </w:pPr>
    </w:p>
    <w:p>
      <w:pPr>
        <w:spacing w:before="240" w:after="200"/>
      </w:pPr>
      <w:r>
        <w:rPr>
          <w:rFonts w:ascii="Roboto" w:hAnsi="Roboto"/>
          <w:b/>
          <w:sz w:val="24"/>
          <w:szCs w:val="24"/>
          <w:color w:val="C00000"/>
        </w:rPr>
        <w:t xml:space="preserve">FEES</w:t>
      </w:r>
    </w:p>
    <w:p>
      <w:pPr>
        <w:spacing w:after="40"/>
        <w:jc w:val="both"/>
      </w:pPr>
      <w:r>
        <w:rPr>
          <w:rFonts w:ascii="Roboto" w:hAnsi="Roboto"/>
          <w:sz w:val="20"/>
          <w:szCs w:val="20"/>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0"/>
          <w:szCs w:val="20"/>
          <w:color w:val="C00000"/>
        </w:rPr>
        <w:t xml:space="preserve">A. One time Handover Service</w:t>
      </w:r>
    </w:p>
    <w:p>
      <w:pPr>
        <w:spacing w:after="40"/>
        <w:jc w:val="both"/>
      </w:pPr>
      <w:r>
        <w:rPr>
          <w:rFonts w:ascii="Roboto" w:hAnsi="Roboto"/>
          <w:sz w:val="20"/>
          <w:szCs w:val="20"/>
        </w:rPr>
        <w:t xml:space="preserve">Since the company has been in existence since 2025, we shall need to undertake a handover of the current financial, secretarial, payroll and other records of the company from current service provider.</w:t>
      </w:r>
    </w:p>
    <w:p>
      <w:pPr>
        <w:spacing w:after="6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Borders>
              <w:top w:val="nil"/>
              <w:left w:val="nil"/>
              <w:right w:val="nil"/>
              <w:bottom w:val="single" w:sz="6" w:color="000000"/>
            </w:tcBorders>
            <w:vAlign w:val="top"/>
            <w:tcMar>
              <w:top w:w="80" w:type="dxa"/>
              <w:bottom w:w="80" w:type="dxa"/>
              <w:left w:w="120" w:type="dxa"/>
              <w:right w:w="120" w:type="dxa"/>
            </w:tcMar>
            <w:tcW w:w="6336"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Fee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6336" w:type="dxa"/>
          </w:tcPr>
          <w:p>
            <w:pPr>
              <w:jc w:val="both"/>
            </w:pPr>
            <w:r>
              <w:rPr>
                <w:rFonts w:ascii="Roboto" w:hAnsi="Roboto"/>
                <w:b/>
                <w:sz w:val="18"/>
                <w:szCs w:val="18"/>
                <w:color w:val="C00000"/>
              </w:rPr>
              <w:t xml:space="preserve">Handover from erstwhile service provider of various records under laws as mentioned below. This process does not entail conducting a due diligence.</w:t>
            </w:r>
          </w:p>
          <w:p>
            <w:pPr>
              <w:spacing w:after="40"/>
              <w:ind w:left="200" w:hanging="200"/>
              <w:jc w:val="both"/>
            </w:pPr>
            <w:r>
              <w:rPr>
                <w:rFonts w:ascii="Roboto" w:hAnsi="Roboto"/>
                <w:sz w:val="20"/>
                <w:szCs w:val="20"/>
              </w:rPr>
              <w:t xml:space="preserve">• GST laws/regulations</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Foreign Exchange Rules &amp; Regulations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6336" w:type="dxa"/>
          </w:tcPr>
          <w:p>
            <w:pPr/>
            <w:r>
              <w:rPr>
                <w:rFonts w:ascii="Roboto" w:hAnsi="Roboto"/>
                <w:b/>
                <w:sz w:val="18"/>
                <w:szCs w:val="18"/>
                <w:color w:val="C00000"/>
              </w:rPr>
              <w:t xml:space="preserve">Basic due diligence from perspective of*–</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Goods and Service Tax Act, 2017</w:t>
            </w:r>
          </w:p>
          <w:p>
            <w:pPr>
              <w:spacing w:after="40"/>
              <w:ind w:left="200" w:hanging="200"/>
              <w:jc w:val="both"/>
            </w:pPr>
            <w:r>
              <w:rPr>
                <w:rFonts w:ascii="Roboto" w:hAnsi="Roboto"/>
                <w:sz w:val="20"/>
                <w:szCs w:val="20"/>
              </w:rPr>
              <w:t xml:space="preserve">• Foreign Exchange Management Act, 1999</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 per year</w:t>
            </w:r>
          </w:p>
        </w:tc>
      </w:tr>
    </w:tbl>
    <w:p>
      <w:pPr>
        <w:spacing w:after="60"/>
      </w:pPr>
    </w:p>
    <w:p>
      <w:pPr>
        <w:spacing w:after="40"/>
        <w:jc w:val="both"/>
      </w:pPr>
      <w:r>
        <w:rPr>
          <w:rFonts w:ascii="Roboto" w:hAnsi="Roboto"/>
          <w:b/>
          <w:i/>
          <w:sz w:val="18"/>
          <w:szCs w:val="18"/>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0"/>
          <w:szCs w:val="20"/>
          <w:color w:val="C00000"/>
        </w:rPr>
        <w:t xml:space="preserve">B. Incorporation / Secretarial Service and Mandatory Registrations post Incorporation</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One-time Fee</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Incorporation</w:t>
            </w:r>
          </w:p>
          <w:p>
            <w:pPr>
              <w:spacing w:after="40"/>
              <w:ind w:left="200" w:hanging="200"/>
              <w:jc w:val="both"/>
            </w:pPr>
            <w:r>
              <w:rPr>
                <w:rFonts w:ascii="Roboto" w:hAnsi="Roboto"/>
                <w:sz w:val="20"/>
                <w:szCs w:val="20"/>
              </w:rPr>
              <w:t xml:space="preserve">• PAN of the company included</w:t>
            </w:r>
          </w:p>
          <w:p>
            <w:pPr>
              <w:spacing w:after="40"/>
              <w:ind w:left="200" w:hanging="200"/>
              <w:jc w:val="both"/>
            </w:pPr>
            <w:r>
              <w:rPr>
                <w:rFonts w:ascii="Roboto" w:hAnsi="Roboto"/>
                <w:sz w:val="20"/>
                <w:szCs w:val="20"/>
              </w:rPr>
              <w:t xml:space="preserve">• TAN of the company included</w:t>
            </w:r>
          </w:p>
          <w:p>
            <w:pPr>
              <w:spacing w:after="40"/>
              <w:ind w:left="200" w:hanging="200"/>
              <w:jc w:val="both"/>
            </w:pPr>
            <w:r>
              <w:rPr>
                <w:rFonts w:ascii="Roboto" w:hAnsi="Roboto"/>
                <w:sz w:val="20"/>
                <w:szCs w:val="20"/>
              </w:rPr>
              <w:t xml:space="preserve">• Employees’ Provident Fund and Miscellaneous Provision Act, Employees’ State Insurance Corporation Act included</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1,500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Goods &amp; Service Tax (GST)</w:t>
            </w:r>
          </w:p>
          <w:p>
            <w:pPr>
              <w:spacing w:after="40"/>
              <w:jc w:val="both"/>
            </w:pPr>
            <w:r>
              <w:rPr>
                <w:rFonts w:ascii="Roboto" w:hAnsi="Roboto"/>
                <w:sz w:val="20"/>
                <w:szCs w:val="20"/>
              </w:rPr>
              <w:t xml:space="preserve">Registration of single location with GST authorities.</w:t>
            </w:r>
          </w:p>
          <w:p>
            <w:pPr>
              <w:spacing w:before="40" w:after="40"/>
            </w:pPr>
            <w:r>
              <w:rPr>
                <w:rFonts w:ascii="Roboto" w:hAnsi="Roboto"/>
                <w:i/>
                <w:sz w:val="16"/>
                <w:szCs w:val="16"/>
              </w:rPr>
              <w:t xml:space="preserve">Registration of every additional location with the GST authorities shall cost USD 100</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350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Statutory Compliances with Registrar of Companies under Companies Act:</w:t>
            </w:r>
          </w:p>
          <w:p>
            <w:pPr>
              <w:spacing w:after="40"/>
              <w:ind w:left="200" w:hanging="200"/>
              <w:jc w:val="both"/>
            </w:pPr>
            <w:r>
              <w:rPr>
                <w:rFonts w:ascii="Roboto" w:hAnsi="Roboto"/>
                <w:sz w:val="20"/>
                <w:szCs w:val="20"/>
              </w:rPr>
              <w:t xml:space="preserve">• Drafting of first board meeting documents</w:t>
            </w:r>
          </w:p>
          <w:p>
            <w:pPr>
              <w:spacing w:after="40"/>
              <w:ind w:left="200" w:hanging="200"/>
              <w:jc w:val="both"/>
            </w:pPr>
            <w:r>
              <w:rPr>
                <w:rFonts w:ascii="Roboto" w:hAnsi="Roboto"/>
                <w:sz w:val="20"/>
                <w:szCs w:val="20"/>
              </w:rPr>
              <w:t xml:space="preserve">• Guidance on capital infusion in bank account</w:t>
            </w:r>
          </w:p>
          <w:p>
            <w:pPr>
              <w:spacing w:after="40"/>
              <w:ind w:left="200" w:hanging="200"/>
              <w:jc w:val="both"/>
            </w:pPr>
            <w:r>
              <w:rPr>
                <w:rFonts w:ascii="Roboto" w:hAnsi="Roboto"/>
                <w:sz w:val="20"/>
                <w:szCs w:val="20"/>
              </w:rPr>
              <w:t xml:space="preserve">• File form with Ministry for commencement of business (COC)</w:t>
            </w:r>
          </w:p>
          <w:p>
            <w:pPr>
              <w:spacing w:after="40"/>
              <w:ind w:left="200" w:hanging="200"/>
              <w:jc w:val="both"/>
            </w:pPr>
            <w:r>
              <w:rPr>
                <w:rFonts w:ascii="Roboto" w:hAnsi="Roboto"/>
                <w:sz w:val="20"/>
                <w:szCs w:val="20"/>
              </w:rPr>
              <w:t xml:space="preserve">• Preparation of statutory shareholders register</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w:t>
            </w:r>
          </w:p>
        </w:tc>
      </w:tr>
    </w:tbl>
    <w:p>
      <w:pPr>
        <w:spacing w:after="1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0"/>
          <w:szCs w:val="20"/>
          <w:color w:val="C00000"/>
        </w:rPr>
        <w:t xml:space="preserve">Optional registrations required post incorporation (One-time)</w:t>
      </w:r>
    </w:p>
    <w:p>
      <w:pPr>
        <w:spacing w:after="6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Fees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Import Export Code (IEC Code)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Submission of for Significant Beneficial Ownership via form BEN-2</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250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Filing of requisite forms with ROC (Form MGT 4, MGT 5, MGT 6)</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250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PAN for foreign director</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200 per director</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Assistance in opening of bank account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250</w:t>
            </w:r>
          </w:p>
        </w:tc>
      </w:tr>
    </w:tbl>
    <w:p>
      <w:pPr>
        <w:spacing w:after="60"/>
      </w:pPr>
    </w:p>
    <w:p>
      <w:pPr>
        <w:spacing w:before="40" w:after="40"/>
      </w:pPr>
      <w:r>
        <w:rPr>
          <w:rFonts w:ascii="Roboto" w:hAnsi="Roboto"/>
          <w:i/>
          <w:sz w:val="16"/>
          <w:szCs w:val="16"/>
        </w:rPr>
        <w:t xml:space="preserve">*For every new director’s professional tax no., there shall be additional cost of $100 per director</w:t>
      </w:r>
    </w:p>
    <w:p>
      <w:pPr>
        <w:spacing w:before="40" w:after="40"/>
      </w:pPr>
      <w:r>
        <w:rPr>
          <w:rFonts w:ascii="Roboto" w:hAnsi="Roboto"/>
          <w:i/>
          <w:sz w:val="16"/>
          <w:szCs w:val="16"/>
        </w:rPr>
        <w:t xml:space="preserve">*Digital signature certificate (DSC) token can be obtained at a cost of USD 200 per applicant.</w:t>
      </w:r>
    </w:p>
    <w:p>
      <w:pPr>
        <w:spacing w:after="2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0"/>
          <w:szCs w:val="20"/>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Monthly Fee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Registered Office Service</w:t>
            </w:r>
          </w:p>
          <w:p>
            <w:pPr>
              <w:spacing w:after="40"/>
              <w:jc w:val="both"/>
            </w:pPr>
            <w:r>
              <w:rPr>
                <w:rFonts w:ascii="Roboto" w:hAnsi="Roboto"/>
                <w:sz w:val="20"/>
                <w:szCs w:val="20"/>
              </w:rPr>
              <w:t xml:space="preserve">A refundable Security deposit @USD 2500 applies**. Refundable upon cessation of Registered office service.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Nominee Director Service</w:t>
            </w:r>
          </w:p>
          <w:p>
            <w:pPr>
              <w:spacing w:after="40"/>
              <w:jc w:val="both"/>
            </w:pPr>
            <w:r>
              <w:rPr>
                <w:rFonts w:ascii="Roboto" w:hAnsi="Roboto"/>
                <w:sz w:val="20"/>
                <w:szCs w:val="20"/>
              </w:rPr>
              <w:t xml:space="preserve">A refundable Security deposit per nominee @USD 5000 applies*. Refundable upon cessation of Nominee Director Service</w:t>
            </w:r>
          </w:p>
          <w:p>
            <w:pPr>
              <w:spacing w:after="40"/>
              <w:jc w:val="both"/>
            </w:pPr>
            <w:r>
              <w:rPr>
                <w:rFonts w:ascii="Roboto" w:hAnsi="Roboto"/>
                <w:sz w:val="20"/>
                <w:szCs w:val="20"/>
              </w:rPr>
              <w:t xml:space="preserve">Director’s fee for attending a physical or recorded or live board meeting @USD300 per director per board meeting</w:t>
            </w:r>
          </w:p>
          <w:p>
            <w:pPr>
              <w:spacing w:after="40"/>
              <w:jc w:val="both"/>
            </w:pPr>
            <w:r>
              <w:rPr>
                <w:rFonts w:ascii="Roboto" w:hAnsi="Roboto"/>
                <w:sz w:val="20"/>
                <w:szCs w:val="20"/>
              </w:rPr>
              <w:t xml:space="preserve">Every nominee director needs to be protected under a director’s indemnity policy. Premium of indemnity bond to be charged on actual basis.</w:t>
            </w:r>
          </w:p>
          <w:p>
            <w:pPr>
              <w:spacing w:after="40"/>
              <w:jc w:val="both"/>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350</w:t>
            </w:r>
          </w:p>
        </w:tc>
      </w:tr>
    </w:tbl>
    <w:p>
      <w:pPr>
        <w:spacing w:after="40"/>
      </w:pPr>
    </w:p>
    <w:p>
      <w:pPr>
        <w:spacing w:before="40" w:after="40"/>
      </w:pPr>
      <w:r>
        <w:rPr>
          <w:rFonts w:ascii="Roboto" w:hAnsi="Roboto"/>
          <w:i/>
          <w:sz w:val="16"/>
          <w:szCs w:val="16"/>
        </w:rPr>
        <w:t xml:space="preserve">*Failure to engage InCorp’s services for regular compliances shall result in forfeiture of the security deposit.</w:t>
      </w:r>
    </w:p>
    <w:p>
      <w:pPr>
        <w:spacing w:after="40"/>
      </w:pPr>
    </w:p>
    <w:p>
      <w:pPr>
        <w:spacing w:before="40" w:after="40"/>
      </w:pPr>
      <w:r>
        <w:rPr>
          <w:rFonts w:ascii="Roboto" w:hAnsi="Roboto"/>
          <w:i/>
          <w:sz w:val="16"/>
          <w:szCs w:val="16"/>
        </w:rPr>
        <w:t xml:space="preserve">**Any fees for rectification (or) completion of pending past compliances shall attract additional fees.</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0"/>
          <w:szCs w:val="20"/>
          <w:color w:val="C00000"/>
        </w:rPr>
        <w:t xml:space="preserve">C. Accounting / Tax / Payroll / Annual Compliance Services</w:t>
      </w:r>
    </w:p>
    <w:p>
      <w:pPr>
        <w:spacing w:after="100"/>
      </w:pPr>
    </w:p>
    <w:p>
      <w:pPr/>
      <w:r>
        <w:rPr>
          <w:rFonts w:ascii="Microsoft Sans Serif" w:hAnsi="Microsoft Sans Serif"/>
          <w:sz w:val="20"/>
          <w:szCs w:val="20"/>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Borders>
              <w:top w:val="nil"/>
              <w:left w:val="nil"/>
              <w:right w:val="nil"/>
              <w:bottom w:val="single" w:sz="6" w:color="000000"/>
            </w:tcBorders>
            <w:vAlign w:val="top"/>
            <w:tcMar>
              <w:top w:w="80" w:type="dxa"/>
              <w:bottom w:w="80" w:type="dxa"/>
              <w:left w:w="120" w:type="dxa"/>
              <w:right w:w="120" w:type="dxa"/>
            </w:tcMar>
            <w:tcW w:w="1872"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1872"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4608" w:type="dxa"/>
          </w:tcPr>
          <w:p>
            <w:pPr/>
            <w:r>
              <w:rPr>
                <w:rFonts w:ascii="Microsoft Sans Serif" w:hAnsi="Microsoft Sans Serif"/>
                <w:b/>
                <w:sz w:val="20"/>
                <w:szCs w:val="20"/>
              </w:rPr>
              <w:t xml:space="preserve">Notes</w:t>
            </w:r>
          </w:p>
        </w:tc>
        <w:tc>
          <w:tcPr>
            <w:tcBorders>
              <w:top w:val="nil"/>
              <w:left w:val="nil"/>
              <w:right w:val="nil"/>
              <w:bottom w:val="single" w:sz="6" w:color="000000"/>
            </w:tcBorders>
            <w:vAlign w:val="top"/>
            <w:tcMar>
              <w:top w:w="80" w:type="dxa"/>
              <w:bottom w:w="80" w:type="dxa"/>
              <w:left w:w="120" w:type="dxa"/>
              <w:right w:w="120" w:type="dxa"/>
            </w:tcMar>
            <w:tcW w:w="2015" w:type="dxa"/>
          </w:tcPr>
          <w:p>
            <w:pPr>
              <w:jc w:val="center"/>
            </w:pPr>
            <w:r>
              <w:rPr>
                <w:rFonts w:ascii="Microsoft Sans Serif" w:hAnsi="Microsoft Sans Serif"/>
                <w:b/>
                <w:sz w:val="20"/>
                <w:szCs w:val="20"/>
              </w:rPr>
              <w:t xml:space="preserve">Fees (in USD)</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Monthly/Quarterly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2) TDS compliances:</w:t>
            </w:r>
          </w:p>
          <w:p>
            <w:pPr>
              <w:spacing w:after="40"/>
              <w:jc w:val="both"/>
            </w:pPr>
            <w:r>
              <w:rPr>
                <w:rFonts w:ascii="Roboto" w:hAnsi="Roboto"/>
                <w:sz w:val="20"/>
                <w:szCs w:val="20"/>
              </w:rPr>
              <w:t xml:space="preserve">• Calculation and Payment of TDS</w:t>
            </w:r>
          </w:p>
          <w:p>
            <w:pPr>
              <w:spacing w:after="40"/>
              <w:jc w:val="both"/>
            </w:pPr>
            <w:r>
              <w:rPr>
                <w:rFonts w:ascii="Roboto" w:hAnsi="Roboto"/>
                <w:sz w:val="20"/>
                <w:szCs w:val="20"/>
              </w:rPr>
              <w:t xml:space="preserve">• Filing of TDS Returns</w:t>
            </w:r>
          </w:p>
          <w:p>
            <w:pPr>
              <w:spacing w:after="40"/>
              <w:jc w:val="both"/>
            </w:pPr>
            <w:r>
              <w:rPr>
                <w:rFonts w:ascii="Roboto" w:hAnsi="Roboto"/>
                <w:sz w:val="20"/>
                <w:szCs w:val="20"/>
              </w:rPr>
              <w:t xml:space="preserve">(The above excludes cost of revisions of TDS returns.)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3) Annual Income tax return</w:t>
            </w:r>
          </w:p>
          <w:p>
            <w:pPr>
              <w:spacing w:after="40"/>
              <w:jc w:val="both"/>
            </w:pPr>
            <w:r>
              <w:rPr>
                <w:rFonts w:ascii="Roboto" w:hAnsi="Roboto"/>
                <w:sz w:val="20"/>
                <w:szCs w:val="20"/>
              </w:rPr>
              <w:t xml:space="preserve">Computation and filing of Annual Income tax Return</w:t>
            </w:r>
          </w:p>
          <w:p>
            <w:pPr>
              <w:spacing w:after="40"/>
              <w:jc w:val="both"/>
            </w:pPr>
            <w:r>
              <w:rPr>
                <w:rFonts w:ascii="Roboto" w:hAnsi="Roboto"/>
                <w:sz w:val="20"/>
                <w:szCs w:val="20"/>
              </w:rPr>
              <w:t xml:space="preserve">4) Statement of Financial Transactions (SFT) – Basic Reporting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500 per annum</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Indirect tax compliances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 and 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1) GST Compliances:</w:t>
            </w:r>
          </w:p>
          <w:p>
            <w:pPr>
              <w:spacing w:after="40"/>
              <w:jc w:val="both"/>
            </w:pPr>
            <w:r>
              <w:rPr>
                <w:rFonts w:ascii="Roboto" w:hAnsi="Roboto"/>
                <w:sz w:val="20"/>
                <w:szCs w:val="20"/>
              </w:rPr>
              <w:t xml:space="preserve">• Calculations and payment of GST</w:t>
            </w:r>
          </w:p>
          <w:p>
            <w:pPr>
              <w:spacing w:after="40"/>
              <w:jc w:val="both"/>
            </w:pPr>
            <w:r>
              <w:rPr>
                <w:rFonts w:ascii="Roboto" w:hAnsi="Roboto"/>
                <w:sz w:val="20"/>
                <w:szCs w:val="20"/>
              </w:rPr>
              <w:t xml:space="preserve">• Filing of monthly GST Returns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Company Law</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Company Law Compliances (Scope as per Annexure 1)</w:t>
            </w:r>
          </w:p>
          <w:p>
            <w:pPr>
              <w:spacing w:after="40"/>
              <w:jc w:val="both"/>
            </w:pPr>
            <w:r>
              <w:rPr>
                <w:rFonts w:ascii="Roboto" w:hAnsi="Roboto"/>
                <w:sz w:val="20"/>
                <w:szCs w:val="20"/>
              </w:rPr>
              <w:t xml:space="preserve">Assistance on conduction of virtual board meeting – USD 150 per board meeting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Foreign Exchange laws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Annual Filings with Reserve bank of India</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450 per annum</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Annual Master Filing Form 3CEAA Part A (Basic Reporting)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350 per annum</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Accounting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One 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Setup of accounting software</w:t>
            </w:r>
          </w:p>
          <w:p>
            <w:pPr>
              <w:spacing w:after="40"/>
              <w:jc w:val="both"/>
            </w:pPr>
            <w:r>
              <w:rPr>
                <w:rFonts w:ascii="Roboto" w:hAnsi="Roboto"/>
                <w:sz w:val="20"/>
                <w:szCs w:val="20"/>
              </w:rPr>
              <w:t xml:space="preserve">• Liaison with the software expert for the setup</w:t>
            </w:r>
          </w:p>
          <w:p>
            <w:pPr>
              <w:spacing w:after="40"/>
              <w:jc w:val="both"/>
            </w:pPr>
            <w:r>
              <w:rPr>
                <w:rFonts w:ascii="Roboto" w:hAnsi="Roboto"/>
                <w:sz w:val="20"/>
                <w:szCs w:val="20"/>
              </w:rPr>
              <w:t xml:space="preserve">• Ensure due configuration of the software with applicable laws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300 one time</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Accounting and maintenance of books of accounts:</w:t>
            </w:r>
          </w:p>
          <w:p>
            <w:pPr>
              <w:spacing w:after="40"/>
              <w:jc w:val="both"/>
            </w:pPr>
            <w:r>
              <w:rPr>
                <w:rFonts w:ascii="Roboto" w:hAnsi="Roboto"/>
                <w:sz w:val="20"/>
                <w:szCs w:val="20"/>
              </w:rPr>
              <w:t xml:space="preserve">• Data entry in accounting software</w:t>
            </w:r>
          </w:p>
          <w:p>
            <w:pPr>
              <w:spacing w:after="40"/>
              <w:jc w:val="both"/>
            </w:pPr>
            <w:r>
              <w:rPr>
                <w:rFonts w:ascii="Roboto" w:hAnsi="Roboto"/>
                <w:sz w:val="20"/>
                <w:szCs w:val="20"/>
              </w:rPr>
              <w:t xml:space="preserve">• Weekly processing of Bank Reconciliation</w:t>
            </w:r>
          </w:p>
          <w:p>
            <w:pPr>
              <w:spacing w:after="40"/>
              <w:jc w:val="both"/>
            </w:pPr>
            <w:r>
              <w:rPr>
                <w:rFonts w:ascii="Roboto" w:hAnsi="Roboto"/>
                <w:sz w:val="20"/>
                <w:szCs w:val="20"/>
              </w:rPr>
              <w:t xml:space="preserve">• Weekly processing of Purchase invoices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Payroll</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One 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Payroll Setup (Scope as per Annexure 2)</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500 one time</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Payroll Processing (Scope as per Annexure 3)</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125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Labour Law Compliances:</w:t>
            </w:r>
          </w:p>
          <w:p>
            <w:pPr>
              <w:spacing w:after="40"/>
              <w:jc w:val="both"/>
            </w:pPr>
            <w:r>
              <w:rPr>
                <w:rFonts w:ascii="Roboto" w:hAnsi="Roboto"/>
                <w:sz w:val="20"/>
                <w:szCs w:val="20"/>
              </w:rPr>
              <w:t xml:space="preserve">• Provident Fund</w:t>
            </w:r>
          </w:p>
          <w:p>
            <w:pPr>
              <w:spacing w:after="40"/>
              <w:jc w:val="both"/>
            </w:pPr>
            <w:r>
              <w:rPr>
                <w:rFonts w:ascii="Roboto" w:hAnsi="Roboto"/>
                <w:sz w:val="20"/>
                <w:szCs w:val="20"/>
              </w:rPr>
              <w:t xml:space="preserve">• Employees State Insurance Corporation</w:t>
            </w:r>
          </w:p>
          <w:p>
            <w:pPr>
              <w:spacing w:after="40"/>
              <w:jc w:val="both"/>
            </w:pPr>
            <w:r>
              <w:rPr>
                <w:rFonts w:ascii="Roboto" w:hAnsi="Roboto"/>
                <w:sz w:val="20"/>
                <w:szCs w:val="20"/>
              </w:rPr>
              <w:t xml:space="preserve">• Profession Tax</w:t>
            </w:r>
          </w:p>
          <w:p>
            <w:pPr>
              <w:spacing w:after="40"/>
              <w:jc w:val="both"/>
            </w:pPr>
            <w:r>
              <w:rPr>
                <w:rFonts w:ascii="Roboto" w:hAnsi="Roboto"/>
                <w:sz w:val="20"/>
                <w:szCs w:val="20"/>
              </w:rPr>
              <w:t xml:space="preserve">• Labor Welfare Fund</w:t>
            </w:r>
          </w:p>
          <w:p>
            <w:pPr>
              <w:spacing w:after="40"/>
              <w:jc w:val="both"/>
            </w:pPr>
            <w:r>
              <w:rPr>
                <w:rFonts w:ascii="Roboto" w:hAnsi="Roboto"/>
                <w:sz w:val="20"/>
                <w:szCs w:val="20"/>
              </w:rPr>
              <w:t xml:space="preserve">(for employees upto 20 – fixed fee)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Annual Return under:</w:t>
            </w:r>
          </w:p>
          <w:p>
            <w:pPr>
              <w:spacing w:after="40"/>
              <w:jc w:val="both"/>
            </w:pPr>
            <w:r>
              <w:rPr>
                <w:rFonts w:ascii="Roboto" w:hAnsi="Roboto"/>
                <w:sz w:val="20"/>
                <w:szCs w:val="20"/>
              </w:rPr>
              <w:t xml:space="preserve">• Sexual Harassment of Women at Workplace Act, 2013</w:t>
            </w:r>
          </w:p>
          <w:p>
            <w:pPr>
              <w:spacing w:after="40"/>
              <w:jc w:val="both"/>
            </w:pPr>
            <w:r>
              <w:rPr>
                <w:rFonts w:ascii="Roboto" w:hAnsi="Roboto"/>
                <w:sz w:val="20"/>
                <w:szCs w:val="20"/>
              </w:rPr>
              <w:t xml:space="preserve">• Shop and Establishment Act</w:t>
            </w:r>
          </w:p>
          <w:p>
            <w:pPr>
              <w:spacing w:after="40"/>
              <w:jc w:val="both"/>
            </w:pPr>
            <w:r>
              <w:rPr>
                <w:rFonts w:ascii="Roboto" w:hAnsi="Roboto"/>
                <w:sz w:val="20"/>
                <w:szCs w:val="20"/>
              </w:rPr>
              <w:t xml:space="preserve">• Maternity Act</w:t>
            </w:r>
          </w:p>
          <w:p>
            <w:pPr>
              <w:spacing w:after="40"/>
              <w:jc w:val="both"/>
            </w:pPr>
            <w:r>
              <w:rPr>
                <w:rFonts w:ascii="Roboto" w:hAnsi="Roboto"/>
                <w:sz w:val="20"/>
                <w:szCs w:val="20"/>
              </w:rPr>
              <w:t xml:space="preserve">• Gratuity Act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Total costs (excluding one 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b/>
                <w:sz w:val="18"/>
                <w:szCs w:val="18"/>
              </w:rPr>
              <w:t xml:space="preserve">15,000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One-time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b/>
                <w:sz w:val="18"/>
                <w:szCs w:val="18"/>
              </w:rPr>
              <w:t xml:space="preserve">800 one time</w:t>
            </w:r>
          </w:p>
        </w:tc>
      </w:tr>
    </w:tbl>
    <w:p>
      <w:pPr>
        <w:spacing w:after="60"/>
      </w:pPr>
    </w:p>
    <w:p>
      <w:pPr>
        <w:spacing w:before="40" w:after="40"/>
      </w:pPr>
      <w:r>
        <w:rPr>
          <w:rFonts w:ascii="Roboto" w:hAnsi="Roboto"/>
          <w:i/>
          <w:sz w:val="16"/>
          <w:szCs w:val="16"/>
        </w:rPr>
        <w:t xml:space="preserve">*The above quotation fee is for approx.20 transactions per month</w:t>
      </w:r>
    </w:p>
    <w:p>
      <w:pPr>
        <w:spacing w:after="40"/>
      </w:pPr>
    </w:p>
    <w:p>
      <w:pPr>
        <w:spacing w:before="40" w:after="40"/>
      </w:pPr>
      <w:r>
        <w:rPr>
          <w:rFonts w:ascii="Roboto" w:hAnsi="Roboto"/>
          <w:i/>
          <w:sz w:val="16"/>
          <w:szCs w:val="16"/>
        </w:rPr>
        <w:t xml:space="preserve">^InCorp’s empanelled audit partners can offer the services of statutory audit, tax audit and GST audit services. The quotes for the same can be provided separately.</w:t>
      </w:r>
    </w:p>
    <w:p>
      <w:pPr>
        <w:spacing w:after="80"/>
      </w:pPr>
    </w:p>
    <w:p>
      <w:pPr>
        <w:spacing w:before="40" w:after="40"/>
      </w:pPr>
      <w:r>
        <w:rPr>
          <w:rFonts w:ascii="Roboto" w:hAnsi="Roboto"/>
          <w:i/>
          <w:sz w:val="16"/>
          <w:szCs w:val="16"/>
        </w:rPr>
        <w:t xml:space="preserve">^Audit partner firms (Jayesh Sanghrajka &amp; Associates, Manish Modi &amp; Associates) shall be able to assist on that front. The estimated statutory fee quote for the first FY shall be between USD 2500 TO USD 3500.</w:t>
      </w:r>
    </w:p>
    <w:p>
      <w:pPr>
        <w:spacing w:after="8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0"/>
          <w:szCs w:val="20"/>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Borders>
              <w:top w:val="nil"/>
              <w:left w:val="nil"/>
              <w:right w:val="nil"/>
              <w:bottom w:val="single" w:sz="6" w:color="000000"/>
            </w:tcBorders>
            <w:vAlign w:val="top"/>
            <w:tcMar>
              <w:top w:w="80" w:type="dxa"/>
              <w:bottom w:w="80" w:type="dxa"/>
              <w:left w:w="120" w:type="dxa"/>
              <w:right w:w="120" w:type="dxa"/>
            </w:tcMar>
            <w:tcW w:w="2015"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1584"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4752" w:type="dxa"/>
          </w:tcPr>
          <w:p>
            <w:pPr/>
            <w:r>
              <w:rPr>
                <w:rFonts w:ascii="Microsoft Sans Serif" w:hAnsi="Microsoft Sans Serif"/>
                <w:b/>
                <w:sz w:val="20"/>
                <w:szCs w:val="20"/>
              </w:rPr>
              <w:t xml:space="preserve">Notes</w:t>
            </w:r>
          </w:p>
        </w:tc>
        <w:tc>
          <w:tcPr>
            <w:tcBorders>
              <w:top w:val="nil"/>
              <w:left w:val="nil"/>
              <w:right w:val="nil"/>
              <w:bottom w:val="single" w:sz="6" w:color="000000"/>
            </w:tcBorders>
            <w:vAlign w:val="top"/>
            <w:tcMar>
              <w:top w:w="80" w:type="dxa"/>
              <w:bottom w:w="80" w:type="dxa"/>
              <w:left w:w="120" w:type="dxa"/>
              <w:right w:w="120" w:type="dxa"/>
            </w:tcMar>
            <w:tcW w:w="2015" w:type="dxa"/>
          </w:tcPr>
          <w:p>
            <w:pPr>
              <w:jc w:val="center"/>
            </w:pPr>
            <w:r>
              <w:rPr>
                <w:rFonts w:ascii="Microsoft Sans Serif" w:hAnsi="Microsoft Sans Serif"/>
                <w:b/>
                <w:sz w:val="20"/>
                <w:szCs w:val="20"/>
              </w:rPr>
              <w:t xml:space="preserve">Fee (In USD)</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r>
              <w:rPr>
                <w:rFonts w:ascii="Roboto" w:hAnsi="Roboto"/>
                <w:b/>
                <w:sz w:val="18"/>
                <w:szCs w:val="18"/>
                <w:color w:val="C00000"/>
              </w:rPr>
              <w:t xml:space="preserve">Benchmarking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752" w:type="dxa"/>
          </w:tcPr>
          <w:p>
            <w:pPr>
              <w:spacing w:after="40"/>
              <w:jc w:val="both"/>
            </w:pPr>
            <w:r>
              <w:rPr>
                <w:rFonts w:ascii="Roboto" w:hAnsi="Roboto"/>
                <w:sz w:val="20"/>
                <w:szCs w:val="20"/>
              </w:rPr>
              <w:t xml:space="preserve">1. Assistance in conducting Functional, Asset and Risk Analysis of the proposed transaction.</w:t>
            </w:r>
          </w:p>
          <w:p>
            <w:pPr>
              <w:spacing w:after="40"/>
              <w:jc w:val="both"/>
            </w:pPr>
            <w:r>
              <w:rPr>
                <w:rFonts w:ascii="Roboto" w:hAnsi="Roboto"/>
                <w:sz w:val="20"/>
                <w:szCs w:val="20"/>
              </w:rPr>
              <w:t xml:space="preserve">2. Assisting in arriving at the arm’s length price or margin range.</w:t>
            </w:r>
          </w:p>
          <w:p>
            <w:pPr>
              <w:spacing w:after="40"/>
              <w:jc w:val="both"/>
            </w:pPr>
            <w:r>
              <w:rPr>
                <w:rFonts w:ascii="Roboto" w:hAnsi="Roboto"/>
                <w:sz w:val="20"/>
                <w:szCs w:val="20"/>
              </w:rPr>
              <w:t xml:space="preserve">3. Preparation of final benchmarking report*.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1,500 per business activity</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r>
              <w:rPr>
                <w:rFonts w:ascii="Roboto" w:hAnsi="Roboto"/>
                <w:b/>
                <w:sz w:val="18"/>
                <w:szCs w:val="18"/>
                <w:color w:val="C00000"/>
              </w:rPr>
              <w:t xml:space="preserve">Inter-company agreement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752" w:type="dxa"/>
          </w:tcPr>
          <w:p>
            <w:pPr>
              <w:spacing w:after="40"/>
              <w:jc w:val="both"/>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Total one-time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b/>
                <w:sz w:val="18"/>
                <w:szCs w:val="18"/>
              </w:rPr>
              <w:t xml:space="preserve">3,000</w:t>
            </w:r>
          </w:p>
        </w:tc>
      </w:tr>
    </w:tbl>
    <w:p>
      <w:pPr>
        <w:spacing w:after="60"/>
      </w:pPr>
    </w:p>
    <w:p>
      <w:pPr>
        <w:spacing w:before="40" w:after="40"/>
      </w:pPr>
      <w:r>
        <w:rPr>
          <w:rFonts w:ascii="Roboto" w:hAnsi="Roboto"/>
          <w:i/>
          <w:sz w:val="16"/>
          <w:szCs w:val="16"/>
        </w:rPr>
        <w:t xml:space="preserve">*Please note that the above benchmarking report will not be transfer pricing documentation as required to be maintained under transfer pricing regulations.</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16"/>
          <w:szCs w:val="16"/>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