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60"/>
          <w:szCs w:val="60"/>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60"/>
          <w:szCs w:val="60"/>
        </w:rPr>
        <w:t>J3K</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after="40"/>
        <w:jc w:val="both"/>
      </w:pPr>
      <w:r>
        <w:rPr>
          <w:rFonts w:ascii="Microsoft Sans Serif" w:hAnsi="Microsoft Sans Serif"/>
          <w:sz w:val="18"/>
          <w:szCs w:val="18"/>
        </w:rPr>
        <w:t xml:space="preserve">18. 03. 2026</w:t>
      </w:r>
    </w:p>
    <w:p>
      <w:pPr>
        <w:spacing w:after="120"/>
      </w:pPr>
    </w:p>
    <w:p>
      <w:pPr>
        <w:spacing w:after="40"/>
        <w:jc w:val="both"/>
      </w:pPr>
      <w:r>
        <w:rPr>
          <w:rFonts w:ascii="Microsoft Sans Serif" w:hAnsi="Microsoft Sans Serif"/>
          <w:sz w:val="18"/>
          <w:szCs w:val="18"/>
        </w:rPr>
        <w:t xml:space="preserve">asxa</w:t>
      </w:r>
    </w:p>
    <w:p>
      <w:pPr>
        <w:spacing w:after="40"/>
        <w:jc w:val="both"/>
      </w:pPr>
      <w:r>
        <w:rPr>
          <w:rFonts w:ascii="Microsoft Sans Serif" w:hAnsi="Microsoft Sans Serif"/>
          <w:sz w:val="18"/>
          <w:szCs w:val="18"/>
        </w:rPr>
        <w:t xml:space="preserve">jd</w:t>
      </w:r>
    </w:p>
    <w:p>
      <w:pPr>
        <w:spacing w:after="40"/>
        <w:jc w:val="both"/>
      </w:pPr>
      <w:r>
        <w:rPr>
          <w:rFonts w:ascii="Microsoft Sans Serif" w:hAnsi="Microsoft Sans Serif"/>
          <w:sz w:val="18"/>
          <w:szCs w:val="18"/>
        </w:rPr>
        <w:t xml:space="preserve">j3k</w:t>
      </w:r>
    </w:p>
    <w:p>
      <w:pPr>
        <w:spacing w:after="40"/>
        <w:jc w:val="both"/>
      </w:pPr>
      <w:r>
        <w:rPr>
          <w:rFonts w:ascii="Microsoft Sans Serif" w:hAnsi="Microsoft Sans Serif"/>
          <w:sz w:val="18"/>
          <w:szCs w:val="18"/>
        </w:rPr>
        <w:t xml:space="preserve">A</w:t>
      </w:r>
    </w:p>
    <w:p>
      <w:pPr>
        <w:spacing w:after="40"/>
        <w:jc w:val="both"/>
      </w:pPr>
      <w:r>
        <w:rPr>
          <w:rFonts w:ascii="Microsoft Sans Serif" w:hAnsi="Microsoft Sans Serif"/>
          <w:sz w:val="18"/>
          <w:szCs w:val="18"/>
        </w:rPr>
        <w:t xml:space="preserve">A</w:t>
      </w:r>
    </w:p>
    <w:p>
      <w:pPr>
        <w:spacing w:after="40"/>
        <w:jc w:val="both"/>
      </w:pPr>
      <w:r>
        <w:rPr>
          <w:rFonts w:ascii="Microsoft Sans Serif" w:hAnsi="Microsoft Sans Serif"/>
          <w:sz w:val="18"/>
          <w:szCs w:val="18"/>
        </w:rPr>
        <w:t xml:space="preserve">A</w:t>
      </w:r>
    </w:p>
    <w:p>
      <w:pPr>
        <w:spacing w:after="200"/>
      </w:pPr>
    </w:p>
    <w:p>
      <w:pPr>
        <w:spacing w:after="40"/>
        <w:jc w:val="both"/>
      </w:pPr>
      <w:r>
        <w:rPr>
          <w:rFonts w:ascii="Microsoft Sans Serif" w:hAnsi="Microsoft Sans Serif"/>
          <w:sz w:val="18"/>
          <w:szCs w:val="18"/>
        </w:rPr>
        <w:t xml:space="preserve">Dear asxa,</w:t>
      </w:r>
    </w:p>
    <w:p>
      <w:pPr>
        <w:spacing w:after="120"/>
      </w:pPr>
    </w:p>
    <w:p>
      <w:pPr>
        <w:spacing w:after="80"/>
        <w:jc w:val="both"/>
      </w:pPr>
      <w:r>
        <w:rPr>
          <w:rFonts w:ascii="Roboto" w:hAnsi="Roboto"/>
          <w:b/>
          <w:sz w:val="18"/>
          <w:szCs w:val="18"/>
          <w:color w:val="C00000"/>
        </w:rPr>
        <w:t xml:space="preserve">RE: FEE PROPOSAL</w:t>
      </w:r>
    </w:p>
    <w:p>
      <w:pPr>
        <w:spacing w:after="40"/>
        <w:jc w:val="both"/>
      </w:pPr>
      <w:r>
        <w:rPr>
          <w:rFonts w:ascii="Microsoft Sans Serif" w:hAnsi="Microsoft Sans Serif"/>
          <w:sz w:val="18"/>
          <w:szCs w:val="18"/>
        </w:rPr>
        <w:t xml:space="preserve">We are pleased to be presenting our proposal to you.</w:t>
      </w:r>
    </w:p>
    <w:p>
      <w:pPr>
        <w:spacing w:after="40"/>
        <w:jc w:val="both"/>
      </w:pPr>
    </w:p>
    <w:p>
      <w:pPr>
        <w:spacing w:after="40"/>
        <w:jc w:val="both"/>
      </w:pPr>
      <w:r>
        <w:rPr>
          <w:rFonts w:ascii="Microsoft Sans Serif" w:hAnsi="Microsoft Sans Serif"/>
          <w:sz w:val="18"/>
          <w:szCs w:val="18"/>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after="40"/>
        <w:jc w:val="both"/>
      </w:pPr>
    </w:p>
    <w:p>
      <w:pPr>
        <w:spacing w:after="40"/>
        <w:jc w:val="both"/>
      </w:pPr>
      <w:r>
        <w:rPr>
          <w:rFonts w:ascii="Microsoft Sans Serif" w:hAnsi="Microsoft Sans Serif"/>
          <w:sz w:val="18"/>
          <w:szCs w:val="18"/>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after="40"/>
        <w:jc w:val="both"/>
      </w:pPr>
    </w:p>
    <w:p>
      <w:pPr>
        <w:spacing w:after="40"/>
        <w:jc w:val="both"/>
      </w:pPr>
      <w:r>
        <w:rPr>
          <w:rFonts w:ascii="Microsoft Sans Serif" w:hAnsi="Microsoft Sans Serif"/>
          <w:sz w:val="18"/>
          <w:szCs w:val="18"/>
        </w:rPr>
        <w:t xml:space="preserve">Yours Sincerely and on behalf of In.Corp,</w:t>
      </w:r>
    </w:p>
    <w:p>
      <w:pPr>
        <w:spacing w:after="40"/>
        <w:jc w:val="both"/>
      </w:pPr>
    </w:p>
    <w:p>
      <w:pPr>
        <w:spacing w:after="40"/>
        <w:jc w:val="both"/>
      </w:pPr>
    </w:p>
    <w:p>
      <w:pPr>
        <w:spacing w:after="40"/>
        <w:jc w:val="both"/>
      </w:pPr>
    </w:p>
    <w:p>
      <w:pPr>
        <w:spacing w:after="40"/>
        <w:jc w:val="both"/>
      </w:pPr>
      <w:r>
        <w:rPr>
          <w:rFonts w:ascii="Roboto" w:hAnsi="Roboto"/>
          <w:b/>
          <w:sz w:val="18"/>
          <w:szCs w:val="18"/>
        </w:rPr>
        <w:t xml:space="preserve">CA Bansi Shah</w:t>
      </w:r>
    </w:p>
    <w:p>
      <w:pPr>
        <w:spacing w:after="40"/>
        <w:jc w:val="both"/>
      </w:pPr>
      <w:r>
        <w:rPr>
          <w:rFonts w:ascii="Roboto" w:hAnsi="Roboto"/>
          <w:b/>
          <w:sz w:val="18"/>
          <w:szCs w:val="18"/>
        </w:rPr>
        <w:t xml:space="preserve">Lead – International clients group</w:t>
      </w:r>
    </w:p>
    <w:p>
      <w:pPr>
        <w:spacing w:after="40"/>
        <w:jc w:val="both"/>
      </w:pPr>
      <w:r>
        <w:rPr>
          <w:rFonts w:ascii="Roboto" w:hAnsi="Roboto"/>
          <w:b/>
          <w:sz w:val="18"/>
          <w:szCs w:val="18"/>
        </w:rPr>
        <w:t xml:space="preserve">InCorp Advisory Services Pvt Ltd</w:t>
      </w:r>
    </w:p>
    <w:p>
      <w:r>
        <w:br w:type="page"/>
      </w:r>
    </w:p>
    <w:p>
      <w:pPr>
        <w:spacing w:before="240" w:after="200"/>
      </w:pPr>
      <w:r>
        <w:rPr>
          <w:rFonts w:ascii="Roboto" w:hAnsi="Roboto"/>
          <w:b/>
          <w:sz w:val="24"/>
          <w:szCs w:val="24"/>
          <w:color w:val="C00000"/>
        </w:rPr>
        <w:t xml:space="preserve">SCOPE OF SERVICES</w:t>
      </w:r>
    </w:p>
    <w:p>
      <w:pPr>
        <w:spacing w:after="20"/>
      </w:pPr>
    </w:p>
    <w:p>
      <w:pPr>
        <w:spacing w:after="40"/>
        <w:ind w:left="200" w:hanging="200"/>
        <w:jc w:val="both"/>
      </w:pPr>
      <w:r>
        <w:rPr>
          <w:rFonts w:ascii="Microsoft Sans Serif" w:hAnsi="Microsoft Sans Serif"/>
          <w:sz w:val="18"/>
          <w:szCs w:val="18"/>
        </w:rPr>
        <w:t xml:space="preserve">• A</w:t>
      </w:r>
    </w:p>
    <w:p>
      <w:pPr>
        <w:spacing w:after="40"/>
        <w:ind w:left="200" w:hanging="200"/>
        <w:jc w:val="both"/>
      </w:pPr>
      <w:r>
        <w:rPr>
          <w:rFonts w:ascii="Microsoft Sans Serif" w:hAnsi="Microsoft Sans Serif"/>
          <w:sz w:val="18"/>
          <w:szCs w:val="18"/>
        </w:rPr>
        <w:t xml:space="preserve">• B</w:t>
      </w:r>
    </w:p>
    <w:p>
      <w:pPr>
        <w:spacing w:after="120"/>
      </w:pPr>
    </w:p>
    <w:p>
      <w:pPr>
        <w:spacing w:before="240" w:after="200"/>
      </w:pPr>
      <w:r>
        <w:rPr>
          <w:rFonts w:ascii="Roboto" w:hAnsi="Roboto"/>
          <w:b/>
          <w:sz w:val="24"/>
          <w:szCs w:val="24"/>
          <w:color w:val="C00000"/>
        </w:rPr>
        <w:t xml:space="preserve">FEES</w:t>
      </w:r>
    </w:p>
    <w:p>
      <w:pPr>
        <w:spacing w:after="40"/>
        <w:jc w:val="both"/>
      </w:pPr>
      <w:r>
        <w:rPr>
          <w:rFonts w:ascii="Microsoft Sans Serif" w:hAnsi="Microsoft Sans Serif"/>
          <w:sz w:val="18"/>
          <w:szCs w:val="18"/>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after="80"/>
      </w:pPr>
    </w:p>
    <w:p>
      <w:pPr>
        <w:spacing w:before="200" w:after="160"/>
        <w:ind w:left="80"/>
      </w:pPr>
      <w:r>
        <w:rPr>
          <w:rFonts w:ascii="Roboto" w:hAnsi="Roboto"/>
          <w:b/>
          <w:sz w:val="20"/>
          <w:szCs w:val="20"/>
          <w:color w:val="C00000"/>
        </w:rPr>
        <w:t xml:space="preserve">A. One time Handover Service</w:t>
      </w:r>
    </w:p>
    <w:p>
      <w:pPr>
        <w:spacing w:after="20"/>
      </w:pPr>
    </w:p>
    <w:p>
      <w:pPr>
        <w:spacing w:after="40"/>
        <w:jc w:val="both"/>
      </w:pPr>
      <w:r>
        <w:rPr>
          <w:rFonts w:ascii="Microsoft Sans Serif" w:hAnsi="Microsoft Sans Serif"/>
          <w:sz w:val="18"/>
          <w:szCs w:val="18"/>
        </w:rPr>
        <w:t xml:space="preserve">Since the company has been in existence since 35vfe, we shall need to undertake a handover of the current financial, secretarial, payroll and other records of the company from current service provider.</w:t>
      </w:r>
    </w:p>
    <w:p>
      <w:pPr>
        <w:spacing w:after="120"/>
      </w:pPr>
    </w:p>
    <w:tbl>
      <w:tblPr>
        <w:tblStyle w:val="TableGrid"/>
        <w:tblW w:w="10656"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jc w:val="both"/>
            </w:pPr>
            <w:r>
              <w:rPr>
                <w:rFonts w:ascii="Roboto" w:hAnsi="Roboto"/>
                <w:b/>
                <w:sz w:val="18"/>
                <w:szCs w:val="18"/>
                <w:color w:val="C00000"/>
              </w:rPr>
              <w:t xml:space="preserve">Handover from erstwhile service provider of various records under laws as mentioned below. This process does not entail conducting a due diligence.</w:t>
            </w:r>
          </w:p>
          <w:p>
            <w:pPr>
              <w:spacing w:after="40"/>
              <w:ind w:left="200" w:hanging="200"/>
              <w:jc w:val="both"/>
            </w:pPr>
            <w:r>
              <w:rPr>
                <w:rFonts w:ascii="Microsoft Sans Serif" w:hAnsi="Microsoft Sans Serif"/>
                <w:sz w:val="18"/>
                <w:szCs w:val="18"/>
              </w:rPr>
              <w:t xml:space="preserve">• GST laws/regulations</w:t>
            </w:r>
          </w:p>
          <w:p>
            <w:pPr>
              <w:spacing w:after="40"/>
              <w:ind w:left="200" w:hanging="200"/>
              <w:jc w:val="both"/>
            </w:pPr>
            <w:r>
              <w:rPr>
                <w:rFonts w:ascii="Microsoft Sans Serif" w:hAnsi="Microsoft Sans Serif"/>
                <w:sz w:val="18"/>
                <w:szCs w:val="18"/>
              </w:rPr>
              <w:t xml:space="preserve">• Income Tax Act, 1961</w:t>
            </w:r>
          </w:p>
          <w:p>
            <w:pPr>
              <w:spacing w:after="40"/>
              <w:ind w:left="200" w:hanging="200"/>
              <w:jc w:val="both"/>
            </w:pPr>
            <w:r>
              <w:rPr>
                <w:rFonts w:ascii="Microsoft Sans Serif" w:hAnsi="Microsoft Sans Serif"/>
                <w:sz w:val="18"/>
                <w:szCs w:val="18"/>
              </w:rPr>
              <w:t xml:space="preserve">• Company’s Act, 2013</w:t>
            </w:r>
          </w:p>
          <w:p>
            <w:pPr>
              <w:spacing w:after="40"/>
              <w:ind w:left="200" w:hanging="200"/>
              <w:jc w:val="both"/>
            </w:pPr>
            <w:r>
              <w:rPr>
                <w:rFonts w:ascii="Microsoft Sans Serif" w:hAnsi="Microsoft Sans Serif"/>
                <w:sz w:val="18"/>
                <w:szCs w:val="18"/>
              </w:rPr>
              <w:t xml:space="preserve">• 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Basic due diligence from perspective of*–</w:t>
            </w:r>
          </w:p>
          <w:p>
            <w:pPr>
              <w:spacing w:after="40"/>
              <w:ind w:left="200" w:hanging="200"/>
              <w:jc w:val="both"/>
            </w:pPr>
            <w:r>
              <w:rPr>
                <w:rFonts w:ascii="Microsoft Sans Serif" w:hAnsi="Microsoft Sans Serif"/>
                <w:sz w:val="18"/>
                <w:szCs w:val="18"/>
              </w:rPr>
              <w:t xml:space="preserve">• Company’s Act, 2013</w:t>
            </w:r>
          </w:p>
          <w:p>
            <w:pPr>
              <w:spacing w:after="40"/>
              <w:ind w:left="200" w:hanging="200"/>
              <w:jc w:val="both"/>
            </w:pPr>
            <w:r>
              <w:rPr>
                <w:rFonts w:ascii="Microsoft Sans Serif" w:hAnsi="Microsoft Sans Serif"/>
                <w:sz w:val="18"/>
                <w:szCs w:val="18"/>
              </w:rPr>
              <w:t xml:space="preserve">• Income Tax Act, 1961</w:t>
            </w:r>
          </w:p>
          <w:p>
            <w:pPr>
              <w:spacing w:after="40"/>
              <w:ind w:left="200" w:hanging="200"/>
              <w:jc w:val="both"/>
            </w:pPr>
            <w:r>
              <w:rPr>
                <w:rFonts w:ascii="Microsoft Sans Serif" w:hAnsi="Microsoft Sans Serif"/>
                <w:sz w:val="18"/>
                <w:szCs w:val="18"/>
              </w:rPr>
              <w:t xml:space="preserve">• Goods and Service Tax Act, 2017</w:t>
            </w:r>
          </w:p>
          <w:p>
            <w:pPr>
              <w:spacing w:after="40"/>
              <w:ind w:left="200" w:hanging="200"/>
              <w:jc w:val="both"/>
            </w:pPr>
            <w:r>
              <w:rPr>
                <w:rFonts w:ascii="Microsoft Sans Serif" w:hAnsi="Microsoft Sans Serif"/>
                <w:sz w:val="18"/>
                <w:szCs w:val="18"/>
              </w:rPr>
              <w:t xml:space="preserve">• 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500 per year</w:t>
            </w:r>
          </w:p>
        </w:tc>
      </w:tr>
    </w:tbl>
    <w:p>
      <w:pPr>
        <w:spacing w:after="120"/>
      </w:pPr>
    </w:p>
    <w:p>
      <w:pPr>
        <w:spacing w:before="40" w:after="40"/>
      </w:pPr>
      <w:r>
        <w:rPr>
          <w:rFonts w:ascii="Roboto" w:hAnsi="Roboto"/>
          <w:i/>
          <w:sz w:val="16"/>
          <w:szCs w:val="16"/>
        </w:rPr>
        <w:t xml:space="preserve">*Any fees for rectification (or) completion of pending past compliances shall attract additional fees and we shall seek your approval prior to commencement of that work.</w:t>
      </w:r>
    </w:p>
    <w:p>
      <w:pPr>
        <w:spacing w:after="120"/>
      </w:pPr>
    </w:p>
    <w:p>
      <w:pPr/>
      <w:r>
        <w:rPr>
          <w:rFonts w:ascii="Microsoft Sans Serif" w:hAnsi="Microsoft Sans Serif"/>
          <w:b/>
          <w:u w:val="single"/>
          <w:sz w:val="18"/>
          <w:szCs w:val="18"/>
          <w:color w:val="002060"/>
        </w:rPr>
        <w:t>Note:</w:t>
      </w:r>
    </w:p>
    <w:p>
      <w:pPr>
        <w:spacing w:after="40"/>
      </w:pPr>
    </w:p>
    <w:p>
      <w:pPr>
        <w:spacing w:after="40"/>
        <w:ind w:left="200" w:hanging="200"/>
        <w:jc w:val="both"/>
      </w:pPr>
      <w:r>
        <w:rPr>
          <w:rFonts w:ascii="Microsoft Sans Serif" w:hAnsi="Microsoft Sans Serif"/>
          <w:sz w:val="18"/>
          <w:szCs w:val="18"/>
        </w:rPr>
        <w:t xml:space="preserve">• All fees quoted above exclude 18% GST</w:t>
      </w:r>
    </w:p>
    <w:p>
      <w:pPr>
        <w:spacing w:after="40"/>
        <w:ind w:left="200" w:hanging="200"/>
        <w:jc w:val="both"/>
      </w:pPr>
      <w:r>
        <w:rPr>
          <w:rFonts w:ascii="Microsoft Sans Serif" w:hAnsi="Microsoft Sans Serif"/>
          <w:sz w:val="18"/>
          <w:szCs w:val="18"/>
        </w:rPr>
        <w:t xml:space="preserve">• Professional fees exclude any fees towards regularisation of past non compliances.</w:t>
      </w:r>
    </w:p>
    <w:p>
      <w:pPr>
        <w:spacing w:after="40"/>
        <w:ind w:left="200" w:hanging="200"/>
        <w:jc w:val="both"/>
      </w:pPr>
      <w:r>
        <w:rPr>
          <w:rFonts w:ascii="Microsoft Sans Serif" w:hAnsi="Microsoft Sans Serif"/>
          <w:sz w:val="18"/>
          <w:szCs w:val="18"/>
        </w:rPr>
        <w:t xml:space="preserve">• Advance of 100% of the above selected option.</w:t>
      </w:r>
    </w:p>
    <w:p>
      <w:pPr>
        <w:spacing w:after="40"/>
      </w:pPr>
    </w:p>
    <w:p>
      <w:pPr>
        <w:spacing w:before="40" w:after="40"/>
      </w:pPr>
      <w:r>
        <w:rPr>
          <w:rFonts w:ascii="Roboto" w:hAnsi="Roboto"/>
          <w:i/>
          <w:sz w:val="16"/>
          <w:szCs w:val="16"/>
        </w:rPr>
        <w:t xml:space="preserve">* Any other services not specifically quoted above and not specifically agreed separately shall be chargeable as under:</w:t>
      </w:r>
    </w:p>
    <w:p>
      <w:pPr>
        <w:spacing w:before="40" w:after="40"/>
      </w:pPr>
      <w:r>
        <w:rPr>
          <w:rFonts w:ascii="Roboto" w:hAnsi="Roboto"/>
          <w:i/>
          <w:sz w:val="16"/>
          <w:szCs w:val="16"/>
        </w:rPr>
        <w:t xml:space="preserve">For Partner: USD 300 per Hour</w:t>
      </w:r>
    </w:p>
    <w:p>
      <w:pPr>
        <w:spacing w:before="40" w:after="40"/>
      </w:pPr>
      <w:r>
        <w:rPr>
          <w:rFonts w:ascii="Roboto" w:hAnsi="Roboto"/>
          <w:i/>
          <w:sz w:val="16"/>
          <w:szCs w:val="16"/>
        </w:rPr>
        <w:t xml:space="preserve">For Associates: USD 200 per Hour</w:t>
      </w:r>
    </w:p>
    <w:p>
      <w:pPr>
        <w:spacing w:after="120"/>
      </w:pPr>
    </w:p>
    <w:p>
      <w:pPr>
        <w:spacing w:before="200" w:after="160"/>
        <w:ind w:left="80"/>
      </w:pPr>
      <w:r>
        <w:rPr>
          <w:rFonts w:ascii="Roboto" w:hAnsi="Roboto"/>
          <w:b/>
          <w:sz w:val="20"/>
          <w:szCs w:val="20"/>
          <w:color w:val="C00000"/>
        </w:rPr>
        <w:t xml:space="preserve">B. Incorporation / Secretarial Service and Mandatory Registrations post Incorporation</w:t>
      </w:r>
    </w:p>
    <w:p>
      <w:pPr>
        <w:spacing w:after="40"/>
      </w:pPr>
    </w:p>
    <w:tbl>
      <w:tblPr>
        <w:tblStyle w:val="TableGrid"/>
        <w:tblW w:w="10368"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One-time Fee</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Incorporation</w:t>
            </w:r>
          </w:p>
          <w:p>
            <w:pPr>
              <w:spacing w:after="40"/>
              <w:ind w:left="200" w:hanging="200"/>
              <w:jc w:val="both"/>
            </w:pPr>
            <w:r>
              <w:rPr>
                <w:rFonts w:ascii="Microsoft Sans Serif" w:hAnsi="Microsoft Sans Serif"/>
                <w:sz w:val="18"/>
                <w:szCs w:val="18"/>
              </w:rPr>
              <w:t xml:space="preserve">• PAN of the company included</w:t>
            </w:r>
          </w:p>
          <w:p>
            <w:pPr>
              <w:spacing w:after="40"/>
              <w:ind w:left="200" w:hanging="200"/>
              <w:jc w:val="both"/>
            </w:pPr>
            <w:r>
              <w:rPr>
                <w:rFonts w:ascii="Microsoft Sans Serif" w:hAnsi="Microsoft Sans Serif"/>
                <w:sz w:val="18"/>
                <w:szCs w:val="18"/>
              </w:rPr>
              <w:t xml:space="preserve">• TAN of the company included</w:t>
            </w:r>
          </w:p>
          <w:p>
            <w:pPr>
              <w:spacing w:after="40"/>
              <w:ind w:left="200" w:hanging="200"/>
              <w:jc w:val="both"/>
            </w:pPr>
            <w:r>
              <w:rPr>
                <w:rFonts w:ascii="Microsoft Sans Serif" w:hAnsi="Microsoft Sans Serif"/>
                <w:sz w:val="18"/>
                <w:szCs w:val="18"/>
              </w:rPr>
              <w:t xml:space="preserve">• Employees’ Provident Fund and Miscellaneous Provision Act, Employees’ State Insurance Corporation Act included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1,500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Goods &amp; Service Tax (GST)</w:t>
            </w:r>
          </w:p>
          <w:p>
            <w:pPr>
              <w:spacing w:after="40"/>
              <w:jc w:val="both"/>
            </w:pPr>
            <w:r>
              <w:rPr>
                <w:rFonts w:ascii="Microsoft Sans Serif" w:hAnsi="Microsoft Sans Serif"/>
                <w:sz w:val="18"/>
                <w:szCs w:val="18"/>
              </w:rPr>
              <w:t xml:space="preserve">Registration of single location with GST authorities.</w:t>
            </w:r>
          </w:p>
          <w:p>
            <w:pPr>
              <w:spacing w:before="40" w:after="40"/>
            </w:pPr>
            <w:r>
              <w:rPr>
                <w:rFonts w:ascii="Roboto" w:hAnsi="Roboto"/>
                <w:i/>
                <w:sz w:val="16"/>
                <w:szCs w:val="16"/>
              </w:rPr>
              <w:t xml:space="preserve">Registration of every additional location with the GST authorities shall cost USD 100</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Statutory Compliances with Registrar of Companies under Companies Act:</w:t>
            </w:r>
          </w:p>
          <w:p>
            <w:pPr>
              <w:spacing w:after="40"/>
              <w:ind w:left="200" w:hanging="200"/>
              <w:jc w:val="both"/>
            </w:pPr>
            <w:r>
              <w:rPr>
                <w:rFonts w:ascii="Microsoft Sans Serif" w:hAnsi="Microsoft Sans Serif"/>
                <w:sz w:val="18"/>
                <w:szCs w:val="18"/>
              </w:rPr>
              <w:t xml:space="preserve">• Drafting of first board meeting documents</w:t>
            </w:r>
          </w:p>
          <w:p>
            <w:pPr>
              <w:spacing w:after="40"/>
              <w:ind w:left="200" w:hanging="200"/>
              <w:jc w:val="both"/>
            </w:pPr>
            <w:r>
              <w:rPr>
                <w:rFonts w:ascii="Microsoft Sans Serif" w:hAnsi="Microsoft Sans Serif"/>
                <w:sz w:val="18"/>
                <w:szCs w:val="18"/>
              </w:rPr>
              <w:t xml:space="preserve">• Guidance on capital infusion in bank account</w:t>
            </w:r>
          </w:p>
          <w:p>
            <w:pPr>
              <w:spacing w:after="40"/>
              <w:ind w:left="200" w:hanging="200"/>
              <w:jc w:val="both"/>
            </w:pPr>
            <w:r>
              <w:rPr>
                <w:rFonts w:ascii="Microsoft Sans Serif" w:hAnsi="Microsoft Sans Serif"/>
                <w:sz w:val="18"/>
                <w:szCs w:val="18"/>
              </w:rPr>
              <w:t xml:space="preserve">• File form with Ministry for commencement of business (COC)</w:t>
            </w:r>
          </w:p>
          <w:p>
            <w:pPr>
              <w:spacing w:after="40"/>
              <w:ind w:left="200" w:hanging="200"/>
              <w:jc w:val="both"/>
            </w:pPr>
            <w:r>
              <w:rPr>
                <w:rFonts w:ascii="Microsoft Sans Serif" w:hAnsi="Microsoft Sans Serif"/>
                <w:sz w:val="18"/>
                <w:szCs w:val="18"/>
              </w:rPr>
              <w:t xml:space="preserve">• Preparation of statutory shareholders register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500</w:t>
            </w:r>
          </w:p>
        </w:tc>
      </w:tr>
    </w:tbl>
    <w:p>
      <w:pPr>
        <w:spacing w:after="160"/>
      </w:pPr>
    </w:p>
    <w:p>
      <w:pPr/>
      <w:r>
        <w:rPr>
          <w:rFonts w:ascii="Microsoft Sans Serif" w:hAnsi="Microsoft Sans Serif"/>
          <w:b/>
          <w:u w:val="single"/>
          <w:sz w:val="18"/>
          <w:szCs w:val="18"/>
          <w:color w:val="002060"/>
        </w:rPr>
        <w:t>Note:</w:t>
      </w:r>
    </w:p>
    <w:p>
      <w:pPr>
        <w:spacing w:after="40"/>
      </w:pPr>
    </w:p>
    <w:p>
      <w:pPr>
        <w:spacing w:after="40"/>
        <w:ind w:left="200" w:hanging="200"/>
        <w:jc w:val="both"/>
      </w:pPr>
      <w:r>
        <w:rPr>
          <w:rFonts w:ascii="Microsoft Sans Serif" w:hAnsi="Microsoft Sans Serif"/>
          <w:sz w:val="18"/>
          <w:szCs w:val="18"/>
        </w:rPr>
        <w:t xml:space="preserve">• All fees quoted above exclude 18% GST.</w:t>
      </w:r>
    </w:p>
    <w:p>
      <w:pPr>
        <w:spacing w:after="40"/>
        <w:ind w:left="200" w:hanging="200"/>
        <w:jc w:val="both"/>
      </w:pPr>
      <w:r>
        <w:rPr>
          <w:rFonts w:ascii="Microsoft Sans Serif" w:hAnsi="Microsoft Sans Serif"/>
          <w:sz w:val="18"/>
          <w:szCs w:val="18"/>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Microsoft Sans Serif" w:hAnsi="Microsoft Sans Serif"/>
          <w:sz w:val="18"/>
          <w:szCs w:val="18"/>
        </w:rPr>
        <w:t xml:space="preserve">• Advance of 100% of the above selected option.</w:t>
      </w:r>
    </w:p>
    <w:p>
      <w:pPr>
        <w:spacing w:after="40"/>
        <w:ind w:left="200" w:hanging="200"/>
        <w:jc w:val="both"/>
      </w:pPr>
      <w:r>
        <w:rPr>
          <w:rFonts w:ascii="Microsoft Sans Serif" w:hAnsi="Microsoft Sans Serif"/>
          <w:sz w:val="18"/>
          <w:szCs w:val="18"/>
        </w:rPr>
        <w:t xml:space="preserve">• On finalization of shareholding structure, we shall be able to guide on compliances needed for issuance of share certificates and shall share a separate fee quote for the same.</w:t>
      </w:r>
    </w:p>
    <w:p>
      <w:pPr>
        <w:spacing w:after="40"/>
      </w:pPr>
    </w:p>
    <w:p>
      <w:pPr>
        <w:spacing w:before="40" w:after="40"/>
      </w:pPr>
      <w:r>
        <w:rPr>
          <w:rFonts w:ascii="Roboto" w:hAnsi="Roboto"/>
          <w:i/>
          <w:sz w:val="16"/>
          <w:szCs w:val="16"/>
        </w:rPr>
        <w:t xml:space="preserve">* Any other services not specifically quoted above and not specifically agreed separately shall be chargeable as under:</w:t>
      </w:r>
    </w:p>
    <w:p>
      <w:pPr>
        <w:spacing w:before="40" w:after="40"/>
      </w:pPr>
      <w:r>
        <w:rPr>
          <w:rFonts w:ascii="Roboto" w:hAnsi="Roboto"/>
          <w:i/>
          <w:sz w:val="16"/>
          <w:szCs w:val="16"/>
        </w:rPr>
        <w:t xml:space="preserve">For Partner: USD 300 per Hour</w:t>
      </w:r>
    </w:p>
    <w:p>
      <w:pPr>
        <w:spacing w:before="40" w:after="40"/>
      </w:pPr>
      <w:r>
        <w:rPr>
          <w:rFonts w:ascii="Roboto" w:hAnsi="Roboto"/>
          <w:i/>
          <w:sz w:val="16"/>
          <w:szCs w:val="16"/>
        </w:rPr>
        <w:t xml:space="preserve">For Associates: USD 200 per Hour</w:t>
      </w:r>
    </w:p>
    <w:p>
      <w:pPr>
        <w:spacing w:after="80"/>
      </w:pPr>
    </w:p>
    <w:p>
      <w:pPr>
        <w:spacing w:before="200" w:after="160"/>
        <w:ind w:left="80"/>
      </w:pPr>
      <w:r>
        <w:rPr>
          <w:rFonts w:ascii="Roboto" w:hAnsi="Roboto"/>
          <w:b/>
          <w:sz w:val="20"/>
          <w:szCs w:val="20"/>
          <w:color w:val="C00000"/>
        </w:rPr>
        <w:t xml:space="preserve">Optional registrations required post incorporation (One-time)</w:t>
      </w:r>
    </w:p>
    <w:p>
      <w:pPr>
        <w:spacing w:after="60"/>
      </w:pPr>
    </w:p>
    <w:tbl>
      <w:tblPr>
        <w:tblStyle w:val="TableGrid"/>
        <w:tblW w:w="10368"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Fees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Import Export Code (IEC Code)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Submission of for Significant Beneficial Ownership via form BEN-2</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Trademark Registration (exclusive of disbursement fees)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Assistance in opening of bank account</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250</w:t>
            </w:r>
          </w:p>
        </w:tc>
      </w:tr>
    </w:tbl>
    <w:p>
      <w:pPr>
        <w:spacing w:after="120"/>
      </w:pPr>
    </w:p>
    <w:p>
      <w:pPr>
        <w:spacing w:before="40" w:after="40"/>
      </w:pPr>
      <w:r>
        <w:rPr>
          <w:rFonts w:ascii="Roboto" w:hAnsi="Roboto"/>
          <w:i/>
          <w:sz w:val="16"/>
          <w:szCs w:val="16"/>
        </w:rPr>
        <w:t xml:space="preserve">*For every new director’s professional tax no., there shall be additional cost of $100 per director</w:t>
      </w:r>
    </w:p>
    <w:p>
      <w:pPr>
        <w:spacing w:before="40" w:after="40"/>
      </w:pPr>
      <w:r>
        <w:rPr>
          <w:rFonts w:ascii="Roboto" w:hAnsi="Roboto"/>
          <w:i/>
          <w:sz w:val="16"/>
          <w:szCs w:val="16"/>
        </w:rPr>
        <w:t xml:space="preserve">*Digital signature certificate (DSC) token can be obtained at a cost of USD 200 per applicant.</w:t>
      </w:r>
    </w:p>
    <w:p>
      <w:pPr>
        <w:spacing w:after="200"/>
      </w:pPr>
    </w:p>
    <w:p>
      <w:pPr/>
      <w:r>
        <w:rPr>
          <w:rFonts w:ascii="Microsoft Sans Serif" w:hAnsi="Microsoft Sans Serif"/>
          <w:b/>
          <w:u w:val="single"/>
          <w:sz w:val="18"/>
          <w:szCs w:val="18"/>
          <w:color w:val="002060"/>
        </w:rPr>
        <w:t>Note:</w:t>
      </w:r>
    </w:p>
    <w:p>
      <w:pPr>
        <w:spacing w:after="40"/>
      </w:pPr>
    </w:p>
    <w:p>
      <w:pPr>
        <w:spacing w:after="40"/>
        <w:ind w:left="200" w:hanging="200"/>
        <w:jc w:val="both"/>
      </w:pPr>
      <w:r>
        <w:rPr>
          <w:rFonts w:ascii="Microsoft Sans Serif" w:hAnsi="Microsoft Sans Serif"/>
          <w:sz w:val="18"/>
          <w:szCs w:val="18"/>
        </w:rPr>
        <w:t xml:space="preserve">• All fees quoted above exclude 18% GST.</w:t>
      </w:r>
    </w:p>
    <w:p>
      <w:pPr>
        <w:spacing w:after="40"/>
        <w:ind w:left="200" w:hanging="200"/>
        <w:jc w:val="both"/>
      </w:pPr>
      <w:r>
        <w:rPr>
          <w:rFonts w:ascii="Microsoft Sans Serif" w:hAnsi="Microsoft Sans Serif"/>
          <w:sz w:val="18"/>
          <w:szCs w:val="18"/>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after="40"/>
        <w:ind w:left="200" w:hanging="200"/>
        <w:jc w:val="both"/>
      </w:pPr>
      <w:r>
        <w:rPr>
          <w:rFonts w:ascii="Microsoft Sans Serif" w:hAnsi="Microsoft Sans Serif"/>
          <w:sz w:val="18"/>
          <w:szCs w:val="18"/>
        </w:rPr>
        <w:t xml:space="preserve">• Advance of 100% of the above selected option.</w:t>
      </w:r>
    </w:p>
    <w:p>
      <w:pPr>
        <w:spacing w:after="40"/>
      </w:pPr>
    </w:p>
    <w:p>
      <w:pPr>
        <w:spacing w:before="40" w:after="40"/>
      </w:pPr>
      <w:r>
        <w:rPr>
          <w:rFonts w:ascii="Roboto" w:hAnsi="Roboto"/>
          <w:i/>
          <w:sz w:val="16"/>
          <w:szCs w:val="16"/>
        </w:rPr>
        <w:t xml:space="preserve">* Any other services not specifically quoted above and not specifically agreed separately shall be chargeable as under:</w:t>
      </w:r>
    </w:p>
    <w:p>
      <w:pPr>
        <w:spacing w:before="40" w:after="40"/>
      </w:pPr>
      <w:r>
        <w:rPr>
          <w:rFonts w:ascii="Roboto" w:hAnsi="Roboto"/>
          <w:i/>
          <w:sz w:val="16"/>
          <w:szCs w:val="16"/>
        </w:rPr>
        <w:t xml:space="preserve">For Partner: USD 300 per Hour</w:t>
      </w:r>
    </w:p>
    <w:p>
      <w:pPr>
        <w:spacing w:before="40" w:after="40"/>
      </w:pPr>
      <w:r>
        <w:rPr>
          <w:rFonts w:ascii="Roboto" w:hAnsi="Roboto"/>
          <w:i/>
          <w:sz w:val="16"/>
          <w:szCs w:val="16"/>
        </w:rPr>
        <w:t xml:space="preserve">For Associates: USD 200 per Hour</w:t>
      </w:r>
    </w:p>
    <w:p>
      <w:pPr>
        <w:spacing w:after="80"/>
      </w:pPr>
    </w:p>
    <w:p>
      <w:pPr>
        <w:spacing w:before="200" w:after="160"/>
        <w:ind w:left="80"/>
      </w:pPr>
      <w:r>
        <w:rPr>
          <w:rFonts w:ascii="Roboto" w:hAnsi="Roboto"/>
          <w:b/>
          <w:sz w:val="20"/>
          <w:szCs w:val="20"/>
          <w:color w:val="C00000"/>
        </w:rPr>
        <w:t xml:space="preserve">Nominee Director and Registered Office Address Service</w:t>
      </w:r>
    </w:p>
    <w:p>
      <w:pPr>
        <w:spacing w:after="80"/>
      </w:pPr>
    </w:p>
    <w:tbl>
      <w:tblPr>
        <w:tblStyle w:val="TableGrid"/>
        <w:tblW w:w="10368"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Monthly Fee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r>
              <w:rPr>
                <w:rFonts w:ascii="Roboto" w:hAnsi="Roboto"/>
                <w:b/>
                <w:sz w:val="18"/>
                <w:szCs w:val="18"/>
                <w:color w:val="C00000"/>
              </w:rPr>
              <w:t xml:space="preserve">Nominee Director Service</w:t>
            </w:r>
          </w:p>
          <w:p>
            <w:pPr>
              <w:spacing w:after="40"/>
              <w:jc w:val="both"/>
            </w:pPr>
            <w:r>
              <w:rPr>
                <w:rFonts w:ascii="Microsoft Sans Serif" w:hAnsi="Microsoft Sans Serif"/>
                <w:sz w:val="18"/>
                <w:szCs w:val="18"/>
              </w:rPr>
              <w:t xml:space="preserve">A refundable Security deposit per nominee @USD 5000 applies*. Refundable upon cessation of Nominee Director Service</w:t>
            </w:r>
          </w:p>
          <w:p>
            <w:pPr>
              <w:spacing w:after="40"/>
              <w:jc w:val="both"/>
            </w:pPr>
            <w:r>
              <w:rPr>
                <w:rFonts w:ascii="Microsoft Sans Serif" w:hAnsi="Microsoft Sans Serif"/>
                <w:sz w:val="18"/>
                <w:szCs w:val="18"/>
              </w:rPr>
              <w:t xml:space="preserve">Director’s fee for attending a physical or recorded or live board meeting @USD300 per director per board meeting</w:t>
            </w:r>
          </w:p>
          <w:p>
            <w:pPr>
              <w:spacing w:after="40"/>
              <w:jc w:val="both"/>
            </w:pPr>
            <w:r>
              <w:rPr>
                <w:rFonts w:ascii="Microsoft Sans Serif" w:hAnsi="Microsoft Sans Serif"/>
                <w:sz w:val="18"/>
                <w:szCs w:val="18"/>
              </w:rPr>
              <w:t xml:space="preserve">Every nominee director needs to be protected under a director’s indemnity policy. Premium of indemnity bond to be charged on actual basis.</w:t>
            </w:r>
          </w:p>
          <w:p>
            <w:pPr>
              <w:spacing w:after="40"/>
              <w:jc w:val="both"/>
            </w:pPr>
            <w:r>
              <w:rPr>
                <w:rFonts w:ascii="Microsoft Sans Serif" w:hAnsi="Microsoft Sans Serif"/>
                <w:sz w:val="18"/>
                <w:szCs w:val="18"/>
              </w:rPr>
              <w:t xml:space="preserve">To ensure the removal of a nominee director from registrations ***with various authorities where required, InCorp must be notified at least three months in advance.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350</w:t>
            </w:r>
          </w:p>
        </w:tc>
      </w:tr>
    </w:tbl>
    <w:p>
      <w:pPr>
        <w:spacing w:after="80"/>
      </w:pPr>
    </w:p>
    <w:p>
      <w:pPr>
        <w:spacing w:before="40" w:after="40"/>
      </w:pPr>
      <w:r>
        <w:rPr>
          <w:rFonts w:ascii="Roboto" w:hAnsi="Roboto"/>
          <w:i/>
          <w:sz w:val="16"/>
          <w:szCs w:val="16"/>
        </w:rPr>
        <w:t xml:space="preserve">*Failure to engage InCorp’s services for regular compliances shall result in forfeiture of the security deposit.</w:t>
      </w:r>
    </w:p>
    <w:p>
      <w:pPr>
        <w:spacing w:after="40"/>
      </w:pPr>
    </w:p>
    <w:p>
      <w:pPr>
        <w:spacing w:before="40" w:after="40"/>
      </w:pPr>
      <w:r>
        <w:rPr>
          <w:rFonts w:ascii="Roboto" w:hAnsi="Roboto"/>
          <w:i/>
          <w:sz w:val="16"/>
          <w:szCs w:val="16"/>
        </w:rPr>
        <w:t xml:space="preserve">**Any fees for rectification (or) completion of pending past compliances shall attract additional fees.</w:t>
      </w:r>
    </w:p>
    <w:p>
      <w:pPr>
        <w:spacing w:after="120"/>
      </w:pPr>
    </w:p>
    <w:p>
      <w:pPr/>
      <w:r>
        <w:rPr>
          <w:rFonts w:ascii="Microsoft Sans Serif" w:hAnsi="Microsoft Sans Serif"/>
          <w:b/>
          <w:u w:val="single"/>
          <w:sz w:val="18"/>
          <w:szCs w:val="18"/>
          <w:color w:val="002060"/>
        </w:rPr>
        <w:t>Note:</w:t>
      </w:r>
    </w:p>
    <w:p>
      <w:pPr>
        <w:spacing w:after="40"/>
      </w:pPr>
    </w:p>
    <w:p>
      <w:pPr>
        <w:spacing w:after="40"/>
        <w:ind w:left="200" w:hanging="200"/>
        <w:jc w:val="both"/>
      </w:pPr>
      <w:r>
        <w:rPr>
          <w:rFonts w:ascii="Microsoft Sans Serif" w:hAnsi="Microsoft Sans Serif"/>
          <w:sz w:val="18"/>
          <w:szCs w:val="18"/>
        </w:rPr>
        <w:t xml:space="preserve">• All fees quoted above exclude 18% GST.</w:t>
      </w:r>
    </w:p>
    <w:p>
      <w:pPr>
        <w:spacing w:after="40"/>
        <w:ind w:left="200" w:hanging="200"/>
        <w:jc w:val="both"/>
      </w:pPr>
      <w:r>
        <w:rPr>
          <w:rFonts w:ascii="Microsoft Sans Serif" w:hAnsi="Microsoft Sans Serif"/>
          <w:sz w:val="18"/>
          <w:szCs w:val="18"/>
        </w:rPr>
        <w:t xml:space="preserve">• The Nominee Director will not be involved in day-to-day affairs / management of the Company.</w:t>
      </w:r>
    </w:p>
    <w:p>
      <w:pPr>
        <w:spacing w:after="40"/>
        <w:ind w:left="200" w:hanging="200"/>
        <w:jc w:val="both"/>
      </w:pPr>
      <w:r>
        <w:rPr>
          <w:rFonts w:ascii="Microsoft Sans Serif" w:hAnsi="Microsoft Sans Serif"/>
          <w:sz w:val="18"/>
          <w:szCs w:val="18"/>
        </w:rPr>
        <w:t xml:space="preserve">• The service of Registered office &amp; Nominee director is offered on discretionary basis only for temporary basis of 6 months.</w:t>
      </w:r>
    </w:p>
    <w:p>
      <w:pPr>
        <w:spacing w:after="40"/>
        <w:ind w:left="200" w:hanging="200"/>
        <w:jc w:val="both"/>
      </w:pPr>
      <w:r>
        <w:rPr>
          <w:rFonts w:ascii="Microsoft Sans Serif" w:hAnsi="Microsoft Sans Serif"/>
          <w:sz w:val="18"/>
          <w:szCs w:val="18"/>
        </w:rPr>
        <w:t xml:space="preserve">• Advance of 100% of the above selected option.</w:t>
      </w:r>
    </w:p>
    <w:p>
      <w:pPr>
        <w:spacing w:after="40"/>
      </w:pPr>
    </w:p>
    <w:p>
      <w:pPr>
        <w:spacing w:before="40" w:after="40"/>
      </w:pPr>
      <w:r>
        <w:rPr>
          <w:rFonts w:ascii="Roboto" w:hAnsi="Roboto"/>
          <w:i/>
          <w:sz w:val="16"/>
          <w:szCs w:val="16"/>
        </w:rPr>
        <w:t xml:space="preserve">* Any other services not specifically quoted above and not specifically agreed separately shall be chargeable as under:</w:t>
      </w:r>
    </w:p>
    <w:p>
      <w:pPr>
        <w:spacing w:before="40" w:after="40"/>
      </w:pPr>
      <w:r>
        <w:rPr>
          <w:rFonts w:ascii="Roboto" w:hAnsi="Roboto"/>
          <w:i/>
          <w:sz w:val="16"/>
          <w:szCs w:val="16"/>
        </w:rPr>
        <w:t xml:space="preserve">For Partner: USD 300 per Hour</w:t>
      </w:r>
    </w:p>
    <w:p>
      <w:pPr>
        <w:spacing w:before="40" w:after="40"/>
      </w:pPr>
      <w:r>
        <w:rPr>
          <w:rFonts w:ascii="Roboto" w:hAnsi="Roboto"/>
          <w:i/>
          <w:sz w:val="16"/>
          <w:szCs w:val="16"/>
        </w:rPr>
        <w:t xml:space="preserve">For Associates: USD 200 per Hour</w:t>
      </w:r>
    </w:p>
    <w:p>
      <w:pPr>
        <w:spacing w:after="120"/>
      </w:pPr>
    </w:p>
    <w:p>
      <w:pPr>
        <w:spacing w:before="200" w:after="160"/>
        <w:ind w:left="80"/>
      </w:pPr>
      <w:r>
        <w:rPr>
          <w:rFonts w:ascii="Roboto" w:hAnsi="Roboto"/>
          <w:b/>
          <w:sz w:val="20"/>
          <w:szCs w:val="20"/>
          <w:color w:val="C00000"/>
        </w:rPr>
        <w:t xml:space="preserve">C. Accounting / Tax / Payroll / Annual Compliance Services</w:t>
      </w:r>
    </w:p>
    <w:p>
      <w:pPr>
        <w:spacing w:after="100"/>
      </w:pPr>
    </w:p>
    <w:p>
      <w:pPr/>
      <w:r>
        <w:rPr>
          <w:rFonts w:ascii="Microsoft Sans Serif" w:hAnsi="Microsoft Sans Serif"/>
          <w:sz w:val="16"/>
          <w:szCs w:val="16"/>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after="120"/>
      </w:pPr>
    </w:p>
    <w:tbl>
      <w:tblPr>
        <w:tblStyle w:val="TableGrid"/>
        <w:tblW w:w="10368"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Microsoft Sans Serif" w:hAnsi="Microsoft Sans Serif"/>
                <w:sz w:val="18"/>
                <w:szCs w:val="18"/>
              </w:rPr>
              <w:t xml:space="preserve">2) TDS compliances:</w:t>
            </w:r>
          </w:p>
          <w:p>
            <w:pPr>
              <w:spacing w:after="40"/>
              <w:jc w:val="both"/>
            </w:pPr>
            <w:r>
              <w:rPr>
                <w:rFonts w:ascii="Microsoft Sans Serif" w:hAnsi="Microsoft Sans Serif"/>
                <w:sz w:val="18"/>
                <w:szCs w:val="18"/>
              </w:rPr>
              <w:t xml:space="preserve">• Calculation and Payment of TDS</w:t>
            </w:r>
          </w:p>
          <w:p>
            <w:pPr>
              <w:spacing w:after="40"/>
              <w:jc w:val="both"/>
            </w:pPr>
            <w:r>
              <w:rPr>
                <w:rFonts w:ascii="Microsoft Sans Serif" w:hAnsi="Microsoft Sans Serif"/>
                <w:sz w:val="18"/>
                <w:szCs w:val="18"/>
              </w:rPr>
              <w:t xml:space="preserve">• Filing of TDS Returns</w:t>
            </w:r>
          </w:p>
          <w:p>
            <w:pPr>
              <w:spacing w:after="40"/>
              <w:jc w:val="both"/>
            </w:pPr>
            <w:r>
              <w:rPr>
                <w:rFonts w:ascii="Microsoft Sans Serif" w:hAnsi="Microsoft Sans Serif"/>
                <w:sz w:val="18"/>
                <w:szCs w:val="18"/>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Microsoft Sans Serif" w:hAnsi="Microsoft Sans Serif"/>
                <w:sz w:val="18"/>
                <w:szCs w:val="18"/>
              </w:rPr>
              <w:t xml:space="preserve">3) Annual Income tax return</w:t>
            </w:r>
          </w:p>
          <w:p>
            <w:pPr>
              <w:spacing w:after="40"/>
              <w:jc w:val="both"/>
            </w:pPr>
            <w:r>
              <w:rPr>
                <w:rFonts w:ascii="Microsoft Sans Serif" w:hAnsi="Microsoft Sans Serif"/>
                <w:sz w:val="18"/>
                <w:szCs w:val="18"/>
              </w:rPr>
              <w:t xml:space="preserve">Computation and filing of Annual Income tax Return</w:t>
            </w:r>
          </w:p>
          <w:p>
            <w:pPr>
              <w:spacing w:after="40"/>
              <w:jc w:val="both"/>
            </w:pPr>
            <w:r>
              <w:rPr>
                <w:rFonts w:ascii="Microsoft Sans Serif" w:hAnsi="Microsoft Sans Serif"/>
                <w:sz w:val="18"/>
                <w:szCs w:val="18"/>
              </w:rPr>
              <w:t xml:space="preserve">4) Statement of Financial Transactions (SFT) –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18"/>
                <w:szCs w:val="18"/>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Microsoft Sans Serif" w:hAnsi="Microsoft Sans Serif"/>
                <w:sz w:val="18"/>
                <w:szCs w:val="18"/>
              </w:rPr>
              <w:t xml:space="preserve">Company Law Compliances (Scope as per Annexure 1)</w:t>
            </w:r>
          </w:p>
          <w:p>
            <w:pPr>
              <w:spacing w:after="40"/>
              <w:jc w:val="both"/>
            </w:pPr>
            <w:r>
              <w:rPr>
                <w:rFonts w:ascii="Microsoft Sans Serif" w:hAnsi="Microsoft Sans Serif"/>
                <w:sz w:val="18"/>
                <w:szCs w:val="18"/>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Roboto" w:hAnsi="Roboto"/>
                <w:b/>
                <w:sz w:val="18"/>
                <w:szCs w:val="18"/>
                <w:color w:val="C00000"/>
              </w:rPr>
              <w:t xml:space="preserve">Foreign Exchange laws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Microsoft Sans Serif" w:hAnsi="Microsoft Sans Serif"/>
                <w:sz w:val="18"/>
                <w:szCs w:val="18"/>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450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Microsoft Sans Serif" w:hAnsi="Microsoft Sans Serif"/>
                <w:sz w:val="18"/>
                <w:szCs w:val="18"/>
              </w:rPr>
              <w:t xml:space="preserve">Accounting and maintenance of books of accounts:</w:t>
            </w:r>
          </w:p>
          <w:p>
            <w:pPr>
              <w:spacing w:after="40"/>
              <w:jc w:val="both"/>
            </w:pPr>
            <w:r>
              <w:rPr>
                <w:rFonts w:ascii="Microsoft Sans Serif" w:hAnsi="Microsoft Sans Serif"/>
                <w:sz w:val="18"/>
                <w:szCs w:val="18"/>
              </w:rPr>
              <w:t xml:space="preserve">• Data entry in accounting software</w:t>
            </w:r>
          </w:p>
          <w:p>
            <w:pPr>
              <w:spacing w:after="40"/>
              <w:jc w:val="both"/>
            </w:pPr>
            <w:r>
              <w:rPr>
                <w:rFonts w:ascii="Microsoft Sans Serif" w:hAnsi="Microsoft Sans Serif"/>
                <w:sz w:val="18"/>
                <w:szCs w:val="18"/>
              </w:rPr>
              <w:t xml:space="preserve">• Weekly processing of Bank Reconciliation</w:t>
            </w:r>
          </w:p>
          <w:p>
            <w:pPr>
              <w:spacing w:after="40"/>
              <w:jc w:val="both"/>
            </w:pPr>
            <w:r>
              <w:rPr>
                <w:rFonts w:ascii="Microsoft Sans Serif" w:hAnsi="Microsoft Sans Serif"/>
                <w:sz w:val="18"/>
                <w:szCs w:val="18"/>
              </w:rPr>
              <w:t xml:space="preserve">• Weekly processing of Purchase invoices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Microsoft Sans Serif" w:hAnsi="Microsoft Sans Serif"/>
                <w:sz w:val="18"/>
                <w:szCs w:val="18"/>
              </w:rPr>
              <w:t xml:space="preserve">• Preparation of the financial Statements as per the Indian accounting Standards</w:t>
            </w:r>
          </w:p>
          <w:p>
            <w:pPr>
              <w:spacing w:after="40"/>
              <w:jc w:val="both"/>
            </w:pPr>
            <w:r>
              <w:rPr>
                <w:rFonts w:ascii="Microsoft Sans Serif" w:hAnsi="Microsoft Sans Serif"/>
                <w:sz w:val="18"/>
                <w:szCs w:val="18"/>
              </w:rPr>
              <w:t xml:space="preserve">• Liaising with auditors for audit, compliance and related matters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Microsoft Sans Serif" w:hAnsi="Microsoft Sans Serif"/>
                <w:sz w:val="18"/>
                <w:szCs w:val="18"/>
              </w:rPr>
              <w:t xml:space="preserve">Payroll Processing (Scope as per Annexure 3)</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125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Microsoft Sans Serif" w:hAnsi="Microsoft Sans Serif"/>
                <w:sz w:val="18"/>
                <w:szCs w:val="18"/>
              </w:rPr>
              <w:t xml:space="preserve">Labour Law Compliances:</w:t>
            </w:r>
          </w:p>
          <w:p>
            <w:pPr>
              <w:spacing w:after="40"/>
              <w:jc w:val="both"/>
            </w:pPr>
            <w:r>
              <w:rPr>
                <w:rFonts w:ascii="Microsoft Sans Serif" w:hAnsi="Microsoft Sans Serif"/>
                <w:sz w:val="18"/>
                <w:szCs w:val="18"/>
              </w:rPr>
              <w:t xml:space="preserve">• Provident Fund</w:t>
            </w:r>
          </w:p>
          <w:p>
            <w:pPr>
              <w:spacing w:after="40"/>
              <w:jc w:val="both"/>
            </w:pPr>
            <w:r>
              <w:rPr>
                <w:rFonts w:ascii="Microsoft Sans Serif" w:hAnsi="Microsoft Sans Serif"/>
                <w:sz w:val="18"/>
                <w:szCs w:val="18"/>
              </w:rPr>
              <w:t xml:space="preserve">• Employees State Insurance Corporation</w:t>
            </w:r>
          </w:p>
          <w:p>
            <w:pPr>
              <w:spacing w:after="40"/>
              <w:jc w:val="both"/>
            </w:pPr>
            <w:r>
              <w:rPr>
                <w:rFonts w:ascii="Microsoft Sans Serif" w:hAnsi="Microsoft Sans Serif"/>
                <w:sz w:val="18"/>
                <w:szCs w:val="18"/>
              </w:rPr>
              <w:t xml:space="preserve">• Profession Tax</w:t>
            </w:r>
          </w:p>
          <w:p>
            <w:pPr>
              <w:spacing w:after="40"/>
              <w:jc w:val="both"/>
            </w:pPr>
            <w:r>
              <w:rPr>
                <w:rFonts w:ascii="Microsoft Sans Serif" w:hAnsi="Microsoft Sans Serif"/>
                <w:sz w:val="18"/>
                <w:szCs w:val="18"/>
              </w:rPr>
              <w:t xml:space="preserve">• Labor Welfare Fund</w:t>
            </w:r>
          </w:p>
          <w:p>
            <w:pPr>
              <w:spacing w:after="40"/>
              <w:jc w:val="both"/>
            </w:pPr>
            <w:r>
              <w:rPr>
                <w:rFonts w:ascii="Microsoft Sans Serif" w:hAnsi="Microsoft Sans Serif"/>
                <w:sz w:val="18"/>
                <w:szCs w:val="18"/>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b/>
                <w:sz w:val="18"/>
                <w:szCs w:val="18"/>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b/>
                <w:sz w:val="18"/>
                <w:szCs w:val="18"/>
              </w:rPr>
              <w:t xml:space="preserve">12,550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b/>
                <w:sz w:val="18"/>
                <w:szCs w:val="18"/>
              </w:rPr>
              <w:t xml:space="preserve">One-time costs</w:t>
            </w:r>
          </w:p>
        </w:tc>
        <w:tc>
          <w:tcPr>
            <w:tcW w:w="187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b/>
                <w:sz w:val="18"/>
                <w:szCs w:val="18"/>
              </w:rPr>
              <w:t xml:space="preserve">0 one time</w:t>
            </w:r>
          </w:p>
        </w:tc>
      </w:tr>
    </w:tbl>
    <w:p>
      <w:pPr>
        <w:spacing w:after="120"/>
      </w:pPr>
    </w:p>
    <w:p>
      <w:pPr>
        <w:spacing w:before="40" w:after="40"/>
      </w:pPr>
      <w:r>
        <w:rPr>
          <w:rFonts w:ascii="Roboto" w:hAnsi="Roboto"/>
          <w:i/>
          <w:sz w:val="16"/>
          <w:szCs w:val="16"/>
        </w:rPr>
        <w:t xml:space="preserve">*The above quotation fee is for approx.20 transactions per month</w:t>
      </w:r>
    </w:p>
    <w:p>
      <w:pPr>
        <w:spacing w:after="80"/>
      </w:pPr>
    </w:p>
    <w:p>
      <w:pPr>
        <w:spacing w:before="40" w:after="40"/>
      </w:pPr>
      <w:r>
        <w:rPr>
          <w:rFonts w:ascii="Roboto" w:hAnsi="Roboto"/>
          <w:i/>
          <w:sz w:val="16"/>
          <w:szCs w:val="16"/>
        </w:rPr>
        <w:t xml:space="preserve">^InCorp’s empanelled audit partners can offer the services of statutory audit, tax audit and GST audit services. The quotes for the same can be provided separately.</w:t>
      </w:r>
    </w:p>
    <w:p>
      <w:pPr>
        <w:spacing w:after="80"/>
      </w:pPr>
    </w:p>
    <w:p>
      <w:pPr>
        <w:spacing w:before="40" w:after="40"/>
      </w:pPr>
      <w:r>
        <w:rPr>
          <w:rFonts w:ascii="Roboto" w:hAnsi="Roboto"/>
          <w:i/>
          <w:sz w:val="16"/>
          <w:szCs w:val="16"/>
        </w:rPr>
        <w:t xml:space="preserve">^Audit partner firms (Jayesh Sanghrajka &amp; Associates, Manish Modi &amp; Associates) shall be able to assist on that front. The estimated statutory fee quote for the first FY shall be between USD 2500 TO USD 3500.</w:t>
      </w:r>
    </w:p>
    <w:p>
      <w:pPr>
        <w:spacing w:after="80"/>
      </w:pPr>
    </w:p>
    <w:p>
      <w:pPr/>
      <w:r>
        <w:rPr>
          <w:rFonts w:ascii="Microsoft Sans Serif" w:hAnsi="Microsoft Sans Serif"/>
          <w:b/>
          <w:u w:val="single"/>
          <w:sz w:val="18"/>
          <w:szCs w:val="18"/>
          <w:color w:val="002060"/>
        </w:rPr>
        <w:t>Note:</w:t>
      </w:r>
    </w:p>
    <w:p>
      <w:pPr>
        <w:spacing w:after="40"/>
      </w:pPr>
    </w:p>
    <w:p>
      <w:pPr>
        <w:spacing w:after="40"/>
        <w:ind w:left="200" w:hanging="200"/>
        <w:jc w:val="both"/>
      </w:pPr>
      <w:r>
        <w:rPr>
          <w:rFonts w:ascii="Microsoft Sans Serif" w:hAnsi="Microsoft Sans Serif"/>
          <w:sz w:val="18"/>
          <w:szCs w:val="18"/>
        </w:rPr>
        <w:t xml:space="preserve">• All fees quoted above exclude 18% GST.</w:t>
      </w:r>
    </w:p>
    <w:p>
      <w:pPr>
        <w:spacing w:after="40"/>
        <w:ind w:left="200" w:hanging="200"/>
        <w:jc w:val="both"/>
      </w:pPr>
      <w:r>
        <w:rPr>
          <w:rFonts w:ascii="Microsoft Sans Serif" w:hAnsi="Microsoft Sans Serif"/>
          <w:sz w:val="18"/>
          <w:szCs w:val="18"/>
        </w:rPr>
        <w:t xml:space="preserve">• Professional fees exclude all out-of-pocket expenses like filing fees, courier expenses, government/statutory fees etc.</w:t>
      </w:r>
    </w:p>
    <w:p>
      <w:pPr>
        <w:spacing w:after="40"/>
        <w:ind w:left="200" w:hanging="200"/>
        <w:jc w:val="both"/>
      </w:pPr>
      <w:r>
        <w:rPr>
          <w:rFonts w:ascii="Microsoft Sans Serif" w:hAnsi="Microsoft Sans Serif"/>
          <w:sz w:val="18"/>
          <w:szCs w:val="18"/>
        </w:rPr>
        <w:t xml:space="preserve">• Advance of 100% of the above selected option</w:t>
      </w:r>
    </w:p>
    <w:p>
      <w:pPr>
        <w:spacing w:after="40"/>
      </w:pPr>
    </w:p>
    <w:p>
      <w:pPr>
        <w:spacing w:before="40" w:after="40"/>
      </w:pPr>
      <w:r>
        <w:rPr>
          <w:rFonts w:ascii="Roboto" w:hAnsi="Roboto"/>
          <w:i/>
          <w:sz w:val="16"/>
          <w:szCs w:val="16"/>
        </w:rPr>
        <w:t xml:space="preserve">*** Any other services not specifically quoted above and not specifically agreed separately shall be chargeable as under:</w:t>
      </w:r>
    </w:p>
    <w:p>
      <w:pPr>
        <w:spacing w:before="40" w:after="40"/>
      </w:pPr>
      <w:r>
        <w:rPr>
          <w:rFonts w:ascii="Roboto" w:hAnsi="Roboto"/>
          <w:i/>
          <w:sz w:val="16"/>
          <w:szCs w:val="16"/>
        </w:rPr>
        <w:t xml:space="preserve">For Partner: USD 300 per Hour</w:t>
      </w:r>
    </w:p>
    <w:p>
      <w:pPr>
        <w:spacing w:before="40" w:after="40"/>
      </w:pPr>
      <w:r>
        <w:rPr>
          <w:rFonts w:ascii="Roboto" w:hAnsi="Roboto"/>
          <w:i/>
          <w:sz w:val="16"/>
          <w:szCs w:val="16"/>
        </w:rPr>
        <w:t xml:space="preserve">For Associates: USD 200 per Hour</w:t>
      </w:r>
    </w:p>
    <w:p>
      <w:pPr>
        <w:spacing w:after="200"/>
      </w:pPr>
    </w:p>
    <w:p>
      <w:pPr>
        <w:spacing w:before="200" w:after="160"/>
        <w:ind w:left="80"/>
      </w:pPr>
      <w:r>
        <w:rPr>
          <w:rFonts w:ascii="Roboto" w:hAnsi="Roboto"/>
          <w:b/>
          <w:sz w:val="20"/>
          <w:szCs w:val="20"/>
          <w:color w:val="C00000"/>
        </w:rPr>
        <w:t xml:space="preserve">D. Transfer Pricing compliances</w:t>
      </w:r>
    </w:p>
    <w:p>
      <w:pPr>
        <w:spacing w:after="80"/>
      </w:pPr>
    </w:p>
    <w:tbl>
      <w:tblPr>
        <w:tblStyle w:val="TableGrid"/>
        <w:tblW w:w="10368" w:type="dxa"/>
        <w:tblBorders>
          <w:top w:val="none"/>
          <w:left w:val="none"/>
          <w:bottom w:val="none"/>
          <w:right w:val="none"/>
          <w:insideH w:val="none"/>
          <w:insideV w:val="none"/>
        </w:tblBorders>
      </w:tblPr>
      <w:tblGrid>
        <w:gridCol w:w="2015"/>
        <w:gridCol w:w="1584"/>
        <w:gridCol w:w="4752"/>
        <w:gridCol w:w="2015"/>
      </w:tblGrid>
      <w:tr>
        <w:tc>
          <w:tcPr>
            <w:tcW w:w="2015"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Services</w:t>
            </w:r>
          </w:p>
        </w:tc>
        <w:tc>
          <w:tcPr>
            <w:tcW w:w="1584"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Frequency</w:t>
            </w:r>
          </w:p>
        </w:tc>
        <w:tc>
          <w:tcPr>
            <w:tcW w:w="4752" w:type="dxa"/>
            <w:tcBorders>
              <w:top w:val="nil"/>
              <w:left w:val="nil"/>
              <w:right w:val="nil"/>
              <w:bottom w:val="single" w:sz="6" w:color="000000"/>
            </w:tcBorders>
            <w:vAlign w:val="top"/>
            <w:tcMar>
              <w:top w:w="80" w:type="dxa"/>
              <w:bottom w:w="80" w:type="dxa"/>
              <w:left w:w="120" w:type="dxa"/>
              <w:right w:w="120" w:type="dxa"/>
            </w:tcMar>
          </w:tcPr>
          <w:p>
            <w:pPr/>
            <w:r>
              <w:rPr>
                <w:rFonts w:ascii="Microsoft Sans Serif" w:hAnsi="Microsoft Sans Serif"/>
                <w:b/>
                <w:sz w:val="20"/>
                <w:szCs w:val="20"/>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jc w:val="center"/>
            </w:pPr>
            <w:r>
              <w:rPr>
                <w:rFonts w:ascii="Microsoft Sans Serif" w:hAnsi="Microsoft Sans Serif"/>
                <w:b/>
                <w:sz w:val="20"/>
                <w:szCs w:val="20"/>
              </w:rPr>
              <w:t xml:space="preserve">Fee (In USD)</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r>
              <w:rPr>
                <w:rFonts w:ascii="Roboto" w:hAnsi="Roboto"/>
                <w:b/>
                <w:sz w:val="18"/>
                <w:szCs w:val="18"/>
                <w:color w:val="C00000"/>
              </w:rPr>
              <w:t xml:space="preserve">Benchmarking</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Microsoft Sans Serif" w:hAnsi="Microsoft Sans Serif"/>
                <w:sz w:val="18"/>
                <w:szCs w:val="18"/>
              </w:rPr>
              <w:t xml:space="preserve">1. Assistance in conducting Functional, Asset and Risk Analysis of the proposed transaction.</w:t>
            </w:r>
          </w:p>
          <w:p>
            <w:pPr>
              <w:spacing w:after="40"/>
              <w:jc w:val="both"/>
            </w:pPr>
            <w:r>
              <w:rPr>
                <w:rFonts w:ascii="Microsoft Sans Serif" w:hAnsi="Microsoft Sans Serif"/>
                <w:sz w:val="18"/>
                <w:szCs w:val="18"/>
              </w:rPr>
              <w:t xml:space="preserve">2. Assisting in arriving at the arm’s length price or margin range.</w:t>
            </w:r>
          </w:p>
          <w:p>
            <w:pPr>
              <w:spacing w:after="40"/>
              <w:jc w:val="both"/>
            </w:pPr>
            <w:r>
              <w:rPr>
                <w:rFonts w:ascii="Microsoft Sans Serif" w:hAnsi="Microsoft Sans Serif"/>
                <w:sz w:val="18"/>
                <w:szCs w:val="18"/>
              </w:rPr>
              <w:t xml:space="preserve">3. Preparation of final benchmarking report*.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1,500 per business activity</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r>
              <w:rPr>
                <w:rFonts w:ascii="Roboto" w:hAnsi="Roboto"/>
                <w:b/>
                <w:sz w:val="18"/>
                <w:szCs w:val="18"/>
                <w:color w:val="C00000"/>
              </w:rPr>
              <w:t xml:space="preserve">Inter-company agreement</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after="40"/>
              <w:jc w:val="both"/>
            </w:pPr>
            <w:r>
              <w:rPr>
                <w:rFonts w:ascii="Microsoft Sans Serif" w:hAnsi="Microsoft Sans Serif"/>
                <w:sz w:val="18"/>
                <w:szCs w:val="18"/>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sz w:val="18"/>
                <w:szCs w:val="18"/>
              </w:rPr>
              <w:t xml:space="preserve">1,500</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b/>
                <w:sz w:val="18"/>
                <w:szCs w:val="18"/>
              </w:rPr>
              <w:t xml:space="preserve">Total one-time costs</w:t>
            </w:r>
          </w:p>
        </w:tc>
        <w:tc>
          <w:tcPr>
            <w:tcW w:w="1584"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jc w:val="center"/>
            </w:pPr>
            <w:r>
              <w:rPr>
                <w:rFonts w:ascii="Microsoft Sans Serif" w:hAnsi="Microsoft Sans Serif"/>
                <w:b/>
                <w:sz w:val="18"/>
                <w:szCs w:val="18"/>
              </w:rPr>
              <w:t xml:space="preserve">3,000</w:t>
            </w:r>
          </w:p>
        </w:tc>
      </w:tr>
    </w:tbl>
    <w:p>
      <w:pPr>
        <w:spacing w:after="120"/>
      </w:pPr>
    </w:p>
    <w:p>
      <w:pPr>
        <w:spacing w:before="40" w:after="40"/>
      </w:pPr>
      <w:r>
        <w:rPr>
          <w:rFonts w:ascii="Roboto" w:hAnsi="Roboto"/>
          <w:i/>
          <w:sz w:val="16"/>
          <w:szCs w:val="16"/>
        </w:rPr>
        <w:t xml:space="preserve">*Please note that the above benchmarking report will not be transfer pricing documentation as required to be maintained under transfer pricing regulations.</w:t>
      </w:r>
    </w:p>
    <w:p>
      <w:pPr>
        <w:spacing w:after="120"/>
      </w:pPr>
    </w:p>
    <w:p>
      <w:pPr/>
      <w:r>
        <w:rPr>
          <w:rFonts w:ascii="Microsoft Sans Serif" w:hAnsi="Microsoft Sans Serif"/>
          <w:b/>
          <w:u w:val="single"/>
          <w:sz w:val="18"/>
          <w:szCs w:val="18"/>
          <w:color w:val="002060"/>
        </w:rPr>
        <w:t>Note:</w:t>
      </w:r>
    </w:p>
    <w:p>
      <w:pPr>
        <w:spacing w:after="40"/>
      </w:pPr>
    </w:p>
    <w:p>
      <w:pPr>
        <w:spacing w:after="40"/>
        <w:ind w:left="200" w:hanging="200"/>
        <w:jc w:val="both"/>
      </w:pPr>
      <w:r>
        <w:rPr>
          <w:rFonts w:ascii="Microsoft Sans Serif" w:hAnsi="Microsoft Sans Serif"/>
          <w:sz w:val="18"/>
          <w:szCs w:val="18"/>
        </w:rPr>
        <w:t xml:space="preserve">• All fees quoted above exclude 18% GST.</w:t>
      </w:r>
    </w:p>
    <w:p>
      <w:pPr>
        <w:spacing w:after="40"/>
        <w:ind w:left="200" w:hanging="200"/>
        <w:jc w:val="both"/>
      </w:pPr>
      <w:r>
        <w:rPr>
          <w:rFonts w:ascii="Microsoft Sans Serif" w:hAnsi="Microsoft Sans Serif"/>
          <w:sz w:val="18"/>
          <w:szCs w:val="18"/>
        </w:rPr>
        <w:t xml:space="preserve">• Professional fees exclude all out-of-pocket expenses.</w:t>
      </w:r>
    </w:p>
    <w:p>
      <w:pPr>
        <w:spacing w:after="40"/>
        <w:ind w:left="200" w:hanging="200"/>
        <w:jc w:val="both"/>
      </w:pPr>
      <w:r>
        <w:rPr>
          <w:rFonts w:ascii="Microsoft Sans Serif" w:hAnsi="Microsoft Sans Serif"/>
          <w:sz w:val="18"/>
          <w:szCs w:val="18"/>
        </w:rPr>
        <w:t xml:space="preserve">• Advance of 100% of the above selected option.</w:t>
      </w:r>
    </w:p>
    <w:p>
      <w:pPr>
        <w:spacing w:after="40"/>
      </w:pPr>
    </w:p>
    <w:p>
      <w:pPr>
        <w:spacing w:before="40" w:after="40"/>
      </w:pPr>
      <w:r>
        <w:rPr>
          <w:rFonts w:ascii="Roboto" w:hAnsi="Roboto"/>
          <w:i/>
          <w:sz w:val="16"/>
          <w:szCs w:val="16"/>
        </w:rPr>
        <w:t xml:space="preserve">* Any other services not specifically quoted above shall be chargeable as under:</w:t>
      </w:r>
    </w:p>
    <w:p>
      <w:pPr>
        <w:spacing w:before="40" w:after="40"/>
      </w:pPr>
      <w:r>
        <w:rPr>
          <w:rFonts w:ascii="Roboto" w:hAnsi="Roboto"/>
          <w:i/>
          <w:sz w:val="16"/>
          <w:szCs w:val="16"/>
        </w:rPr>
        <w:t xml:space="preserve">For Partner: USD 300 per Hour</w:t>
      </w:r>
    </w:p>
    <w:p>
      <w:pPr>
        <w:spacing w:before="40" w:after="40"/>
      </w:pPr>
      <w:r>
        <w:rPr>
          <w:rFonts w:ascii="Roboto" w:hAnsi="Roboto"/>
          <w:i/>
          <w:sz w:val="16"/>
          <w:szCs w:val="16"/>
        </w:rPr>
        <w:t xml:space="preserve">For Associates: USD 200 per Hour</w:t>
      </w:r>
    </w:p>
    <w:p>
      <w:pPr>
        <w:spacing w:after="80"/>
      </w:pPr>
    </w:p>
    <w:p>
      <w:pPr>
        <w:spacing w:before="40" w:after="40"/>
      </w:pPr>
      <w:r>
        <w:rPr>
          <w:rFonts w:ascii="Roboto" w:hAnsi="Roboto"/>
          <w:i/>
          <w:sz w:val="16"/>
          <w:szCs w:val="16"/>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