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858000" cy="10058400"/>
            <wp:docPr id="1" name="Picture 1"/>
            <wp:cNvGraphicFramePr>
              <a:graphicFrameLocks noChangeAspect="1"/>
            </wp:cNvGraphicFramePr>
            <a:graphic>
              <a:graphicData uri="http://schemas.openxmlformats.org/drawingml/2006/picture">
                <pic:pic>
                  <pic:nvPicPr>
                    <pic:cNvPr id="0" name="cover_image.jpg"/>
                    <pic:cNvPicPr/>
                  </pic:nvPicPr>
                  <pic:blipFill>
                    <a:blip r:embed="rId11"/>
                    <a:stretch>
                      <a:fillRect/>
                    </a:stretch>
                  </pic:blipFill>
                  <pic:spPr>
                    <a:xfrm>
                      <a:off x="0" y="0"/>
                      <a:ext cx="6858000" cy="10058400"/>
                    </a:xfrm>
                    <a:prstGeom prst="rect"/>
                  </pic:spPr>
                </pic:pic>
              </a:graphicData>
            </a:graphic>
          </wp:inline>
        </w:drawing>
      </w:r>
    </w:p>
    <w:p>
      <w:r>
        <w:br w:type="page"/>
      </w:r>
    </w:p>
    <w:p>
      <w:pPr>
        <w:spacing w:before="0" w:after="40"/>
        <w:ind w:left="0" w:firstLine="0"/>
        <w:jc w:val="both"/>
      </w:pPr>
      <w:r>
        <w:rPr>
          <w:rFonts w:ascii="Microsoft Sans Serif" w:hAnsi="Microsoft Sans Serif"/>
          <w:b w:val="0"/>
          <w:i w:val="0"/>
          <w:color w:val="000000"/>
          <w:sz w:val="20"/>
        </w:rPr>
        <w:t>18. 03. 2026</w:t>
      </w:r>
    </w:p>
    <w:p>
      <w:pPr>
        <w:spacing w:before="0" w:after="120"/>
        <w:ind w:left="0" w:firstLine="0"/>
        <w:jc w:val="left"/>
      </w:pPr>
    </w:p>
    <w:p>
      <w:pPr>
        <w:spacing w:before="0" w:after="40"/>
        <w:ind w:left="0" w:firstLine="0"/>
        <w:jc w:val="both"/>
      </w:pPr>
      <w:r>
        <w:rPr>
          <w:rFonts w:ascii="Microsoft Sans Serif" w:hAnsi="Microsoft Sans Serif"/>
          <w:b w:val="0"/>
          <w:i w:val="0"/>
          <w:color w:val="000000"/>
          <w:sz w:val="20"/>
        </w:rPr>
        <w:t>asxa</w:t>
      </w:r>
    </w:p>
    <w:p>
      <w:pPr>
        <w:spacing w:before="0" w:after="40"/>
        <w:ind w:left="0" w:firstLine="0"/>
        <w:jc w:val="both"/>
      </w:pPr>
      <w:r>
        <w:rPr>
          <w:rFonts w:ascii="Microsoft Sans Serif" w:hAnsi="Microsoft Sans Serif"/>
          <w:b w:val="0"/>
          <w:i w:val="0"/>
          <w:color w:val="000000"/>
          <w:sz w:val="20"/>
        </w:rPr>
        <w:t>jd</w:t>
      </w:r>
    </w:p>
    <w:p>
      <w:pPr>
        <w:spacing w:before="0" w:after="40"/>
        <w:ind w:left="0" w:firstLine="0"/>
        <w:jc w:val="both"/>
      </w:pPr>
      <w:r>
        <w:rPr>
          <w:rFonts w:ascii="Microsoft Sans Serif" w:hAnsi="Microsoft Sans Serif"/>
          <w:b w:val="0"/>
          <w:i w:val="0"/>
          <w:color w:val="000000"/>
          <w:sz w:val="20"/>
        </w:rPr>
        <w:t>j3k</w:t>
      </w:r>
    </w:p>
    <w:p>
      <w:pPr>
        <w:spacing w:before="0" w:after="40"/>
        <w:ind w:left="0" w:firstLine="0"/>
        <w:jc w:val="both"/>
      </w:pPr>
      <w:r>
        <w:rPr>
          <w:rFonts w:ascii="Microsoft Sans Serif" w:hAnsi="Microsoft Sans Serif"/>
          <w:b w:val="0"/>
          <w:i w:val="0"/>
          <w:color w:val="000000"/>
          <w:sz w:val="20"/>
        </w:rPr>
        <w:t>A</w:t>
      </w:r>
    </w:p>
    <w:p>
      <w:pPr>
        <w:spacing w:before="0" w:after="40"/>
        <w:ind w:left="0" w:firstLine="0"/>
        <w:jc w:val="both"/>
      </w:pPr>
      <w:r>
        <w:rPr>
          <w:rFonts w:ascii="Microsoft Sans Serif" w:hAnsi="Microsoft Sans Serif"/>
          <w:b w:val="0"/>
          <w:i w:val="0"/>
          <w:color w:val="000000"/>
          <w:sz w:val="20"/>
        </w:rPr>
        <w:t>A</w:t>
      </w:r>
    </w:p>
    <w:p>
      <w:pPr>
        <w:spacing w:before="0" w:after="40"/>
        <w:ind w:left="0" w:firstLine="0"/>
        <w:jc w:val="both"/>
      </w:pPr>
      <w:r>
        <w:rPr>
          <w:rFonts w:ascii="Microsoft Sans Serif" w:hAnsi="Microsoft Sans Serif"/>
          <w:b w:val="0"/>
          <w:i w:val="0"/>
          <w:color w:val="000000"/>
          <w:sz w:val="20"/>
        </w:rPr>
        <w:t>A</w:t>
      </w:r>
    </w:p>
    <w:p>
      <w:pPr>
        <w:spacing w:before="0" w:after="200"/>
        <w:ind w:left="0" w:firstLine="0"/>
        <w:jc w:val="left"/>
      </w:pPr>
    </w:p>
    <w:p>
      <w:pPr>
        <w:spacing w:before="0" w:after="40"/>
        <w:ind w:left="0" w:firstLine="0"/>
        <w:jc w:val="both"/>
      </w:pPr>
      <w:r>
        <w:rPr>
          <w:rFonts w:ascii="Microsoft Sans Serif" w:hAnsi="Microsoft Sans Serif"/>
          <w:b w:val="0"/>
          <w:i w:val="0"/>
          <w:color w:val="000000"/>
          <w:sz w:val="20"/>
        </w:rPr>
        <w:t>Dear asxa,</w:t>
      </w:r>
    </w:p>
    <w:p>
      <w:pPr>
        <w:spacing w:before="0" w:after="120"/>
        <w:ind w:left="0" w:firstLine="0"/>
        <w:jc w:val="left"/>
      </w:pPr>
    </w:p>
    <w:p>
      <w:pPr>
        <w:jc w:val="both"/>
      </w:pPr>
      <w:r>
        <w:rPr>
          <w:rFonts w:ascii="Roboto" w:hAnsi="Roboto"/>
          <w:b/>
          <w:color w:val="C00000"/>
          <w:sz w:val="20"/>
        </w:rPr>
        <w:t>RE: FEE PROPOSAL</w:t>
      </w:r>
    </w:p>
    <w:p>
      <w:pPr>
        <w:spacing w:before="0" w:after="80"/>
        <w:ind w:left="0" w:firstLine="0"/>
        <w:jc w:val="left"/>
      </w:pPr>
    </w:p>
    <w:p>
      <w:pPr>
        <w:spacing w:before="0" w:after="40"/>
        <w:ind w:left="0" w:firstLine="0"/>
        <w:jc w:val="both"/>
      </w:pPr>
      <w:r>
        <w:rPr>
          <w:rFonts w:ascii="Microsoft Sans Serif" w:hAnsi="Microsoft Sans Serif"/>
          <w:b w:val="0"/>
          <w:i w:val="0"/>
          <w:color w:val="000000"/>
          <w:sz w:val="20"/>
        </w:rPr>
        <w:t>We are pleased to be presenting our proposal to you.</w:t>
      </w:r>
    </w:p>
    <w:p>
      <w:pPr>
        <w:spacing w:before="0" w:after="40"/>
        <w:ind w:left="0" w:firstLine="0"/>
        <w:jc w:val="both"/>
      </w:pPr>
    </w:p>
    <w:p>
      <w:pPr>
        <w:spacing w:before="0" w:after="40"/>
        <w:ind w:left="0" w:firstLine="0"/>
        <w:jc w:val="both"/>
      </w:pPr>
      <w:r>
        <w:rPr>
          <w:rFonts w:ascii="Microsoft Sans Serif" w:hAnsi="Microsoft Sans Serif"/>
          <w:b w:val="0"/>
          <w:i w:val="0"/>
          <w:color w:val="000000"/>
          <w:sz w:val="20"/>
        </w:rPr>
        <w:t>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ind w:left="0" w:firstLine="0"/>
        <w:jc w:val="both"/>
      </w:pPr>
    </w:p>
    <w:p>
      <w:pPr>
        <w:spacing w:before="0" w:after="40"/>
        <w:ind w:left="0" w:firstLine="0"/>
        <w:jc w:val="both"/>
      </w:pPr>
      <w:r>
        <w:rPr>
          <w:rFonts w:ascii="Microsoft Sans Serif" w:hAnsi="Microsoft Sans Serif"/>
          <w:b w:val="0"/>
          <w:i w:val="0"/>
          <w:color w:val="000000"/>
          <w:sz w:val="20"/>
        </w:rPr>
        <w:t>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ind w:left="0" w:firstLine="0"/>
        <w:jc w:val="both"/>
      </w:pPr>
    </w:p>
    <w:p>
      <w:pPr>
        <w:spacing w:before="0" w:after="40"/>
        <w:ind w:left="0" w:firstLine="0"/>
        <w:jc w:val="both"/>
      </w:pPr>
      <w:r>
        <w:rPr>
          <w:rFonts w:ascii="Microsoft Sans Serif" w:hAnsi="Microsoft Sans Serif"/>
          <w:b w:val="0"/>
          <w:i w:val="0"/>
          <w:color w:val="000000"/>
          <w:sz w:val="20"/>
        </w:rPr>
        <w:t>Yours Sincerely and on behalf of In.Corp,</w:t>
      </w:r>
    </w:p>
    <w:p>
      <w:pPr>
        <w:spacing w:before="0" w:after="40"/>
        <w:ind w:left="0" w:firstLine="0"/>
        <w:jc w:val="both"/>
      </w:pPr>
    </w:p>
    <w:p>
      <w:pPr>
        <w:spacing w:before="0" w:after="40"/>
        <w:ind w:left="0" w:firstLine="0"/>
        <w:jc w:val="both"/>
      </w:pPr>
    </w:p>
    <w:p>
      <w:pPr>
        <w:spacing w:before="0" w:after="40"/>
        <w:ind w:left="0" w:firstLine="0"/>
        <w:jc w:val="both"/>
      </w:pPr>
    </w:p>
    <w:p>
      <w:pPr>
        <w:spacing w:before="0" w:after="40"/>
        <w:ind w:left="0" w:firstLine="0"/>
        <w:jc w:val="both"/>
      </w:pPr>
      <w:r>
        <w:rPr>
          <w:rFonts w:ascii="Roboto" w:hAnsi="Roboto"/>
          <w:b/>
          <w:i w:val="0"/>
          <w:color w:val="000000"/>
          <w:sz w:val="20"/>
        </w:rPr>
        <w:t>CA Bansi Shah</w:t>
      </w:r>
    </w:p>
    <w:p>
      <w:pPr>
        <w:spacing w:before="0" w:after="40"/>
        <w:ind w:left="0" w:firstLine="0"/>
        <w:jc w:val="both"/>
      </w:pPr>
      <w:r>
        <w:rPr>
          <w:rFonts w:ascii="Roboto" w:hAnsi="Roboto"/>
          <w:b/>
          <w:i w:val="0"/>
          <w:color w:val="000000"/>
          <w:sz w:val="20"/>
        </w:rPr>
        <w:t>Lead – International clients group</w:t>
      </w:r>
    </w:p>
    <w:p>
      <w:pPr>
        <w:spacing w:before="0" w:after="40"/>
        <w:ind w:left="0" w:firstLine="0"/>
        <w:jc w:val="both"/>
      </w:pPr>
      <w:r>
        <w:rPr>
          <w:rFonts w:ascii="Roboto" w:hAnsi="Roboto"/>
          <w:b/>
          <w:i w:val="0"/>
          <w:color w:val="000000"/>
          <w:sz w:val="20"/>
        </w:rPr>
        <w:t>InCorp Advisory Services Pvt Ltd</w:t>
      </w:r>
    </w:p>
    <w:p>
      <w:r>
        <w:br w:type="page"/>
      </w:r>
    </w:p>
    <w:p>
      <w:pPr>
        <w:spacing w:before="240" w:after="200"/>
        <w:ind w:left="0" w:firstLine="0"/>
        <w:jc w:val="left"/>
      </w:pPr>
      <w:r>
        <w:rPr>
          <w:rFonts w:ascii="Roboto" w:hAnsi="Roboto"/>
          <w:b/>
          <w:i w:val="0"/>
          <w:color w:val="C00000"/>
          <w:sz w:val="24"/>
        </w:rPr>
        <w:t>SCOPE OF SERVICES</w:t>
      </w:r>
    </w:p>
    <w:p>
      <w:pPr>
        <w:spacing w:before="0" w:after="20"/>
        <w:ind w:left="0" w:firstLine="0"/>
        <w:jc w:val="left"/>
      </w:pPr>
    </w:p>
    <w:p>
      <w:pPr>
        <w:spacing w:before="0" w:after="0"/>
        <w:ind w:left="200" w:hanging="200"/>
        <w:jc w:val="both"/>
      </w:pPr>
      <w:r>
        <w:rPr>
          <w:rFonts w:ascii="Microsoft Sans Serif" w:hAnsi="Microsoft Sans Serif"/>
          <w:b w:val="0"/>
          <w:i w:val="0"/>
          <w:color w:val="000000"/>
          <w:sz w:val="20"/>
        </w:rPr>
        <w:t>• A</w:t>
      </w:r>
    </w:p>
    <w:p>
      <w:pPr>
        <w:spacing w:before="0" w:after="0"/>
        <w:ind w:left="200" w:hanging="200"/>
        <w:jc w:val="both"/>
      </w:pPr>
      <w:r>
        <w:rPr>
          <w:rFonts w:ascii="Microsoft Sans Serif" w:hAnsi="Microsoft Sans Serif"/>
          <w:b w:val="0"/>
          <w:i w:val="0"/>
          <w:color w:val="000000"/>
          <w:sz w:val="20"/>
        </w:rPr>
        <w:t>• B</w:t>
      </w:r>
    </w:p>
    <w:p>
      <w:pPr>
        <w:spacing w:before="0" w:after="120"/>
        <w:ind w:left="0" w:firstLine="0"/>
        <w:jc w:val="left"/>
      </w:pPr>
    </w:p>
    <w:p>
      <w:pPr>
        <w:spacing w:before="240" w:after="200"/>
        <w:ind w:left="0" w:firstLine="0"/>
        <w:jc w:val="left"/>
      </w:pPr>
      <w:r>
        <w:rPr>
          <w:rFonts w:ascii="Roboto" w:hAnsi="Roboto"/>
          <w:b/>
          <w:i w:val="0"/>
          <w:color w:val="C00000"/>
          <w:sz w:val="24"/>
        </w:rPr>
        <w:t>FEES</w:t>
      </w:r>
    </w:p>
    <w:p>
      <w:pPr>
        <w:spacing w:before="0" w:after="40"/>
        <w:ind w:left="0" w:firstLine="0"/>
        <w:jc w:val="both"/>
      </w:pPr>
      <w:r>
        <w:rPr>
          <w:rFonts w:ascii="Microsoft Sans Serif" w:hAnsi="Microsoft Sans Serif"/>
          <w:b w:val="0"/>
          <w:i w:val="0"/>
          <w:color w:val="000000"/>
          <w:sz w:val="20"/>
        </w:rPr>
        <w:t>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80"/>
        <w:ind w:left="0" w:firstLine="0"/>
        <w:jc w:val="left"/>
      </w:pPr>
    </w:p>
    <w:p>
      <w:pPr>
        <w:spacing w:before="200" w:after="160"/>
        <w:ind w:left="80" w:firstLine="0"/>
        <w:jc w:val="left"/>
      </w:pPr>
      <w:r>
        <w:rPr>
          <w:rFonts w:ascii="Roboto" w:hAnsi="Roboto"/>
          <w:b/>
          <w:i w:val="0"/>
          <w:color w:val="C00000"/>
          <w:sz w:val="20"/>
        </w:rPr>
        <w:t>A. One time Handover Service</w:t>
      </w:r>
    </w:p>
    <w:p>
      <w:pPr>
        <w:spacing w:before="0" w:after="20"/>
        <w:ind w:left="0" w:firstLine="0"/>
        <w:jc w:val="left"/>
      </w:pPr>
    </w:p>
    <w:p>
      <w:pPr>
        <w:spacing w:before="0" w:after="40"/>
        <w:ind w:left="0" w:firstLine="0"/>
        <w:jc w:val="both"/>
      </w:pPr>
      <w:r>
        <w:rPr>
          <w:rFonts w:ascii="Microsoft Sans Serif" w:hAnsi="Microsoft Sans Serif"/>
          <w:b w:val="0"/>
          <w:i w:val="0"/>
          <w:color w:val="000000"/>
          <w:sz w:val="20"/>
        </w:rPr>
        <w:t>Since the company has been in existence since 35vfe, we shall need to undertake a handover of the current financial, secretarial, payroll and other records of the company from current service provider.</w:t>
      </w:r>
    </w:p>
    <w:p>
      <w:pPr>
        <w:spacing w:before="0" w:after="120"/>
        <w:ind w:left="0" w:firstLine="0"/>
        <w:jc w:val="left"/>
      </w:pPr>
    </w:p>
    <w:tbl>
      <w:tblPr>
        <w:tblStyle w:val="TableGrid"/>
        <w:tblW w:type="auto" w:w="0"/>
        <w:tblLook w:firstColumn="1" w:firstRow="1" w:lastColumn="0" w:lastRow="0" w:noHBand="0" w:noVBand="1" w:val="04A0"/>
      </w:tblPr>
      <w:tblGrid>
        <w:gridCol w:w="3600"/>
        <w:gridCol w:w="3600"/>
        <w:gridCol w:w="3600"/>
      </w:tblGrid>
      <w:tr>
        <w:tc>
          <w:tcPr>
            <w:tcW w:type="dxa" w:w="6336"/>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top"/>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Frequency</w:t>
            </w:r>
          </w:p>
        </w:tc>
        <w:tc>
          <w:tcPr>
            <w:tcW w:type="dxa" w:w="2160"/>
            <w:vAlign w:val="top"/>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 (In USD)</w:t>
            </w:r>
          </w:p>
        </w:tc>
      </w:tr>
      <w:tr>
        <w:tc>
          <w:tcPr>
            <w:tcW w:type="dxa" w:w="6336"/>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Handover from erstwhile service provider of various records under laws as mentioned below. This process does not entail conducting a due diligence.</w:t>
            </w:r>
          </w:p>
          <w:p>
            <w:pPr>
              <w:spacing w:before="0" w:after="20"/>
              <w:ind w:left="200" w:hanging="200"/>
              <w:jc w:val="left"/>
            </w:pPr>
            <w:r>
              <w:rPr>
                <w:rFonts w:ascii="Microsoft Sans Serif" w:hAnsi="Microsoft Sans Serif"/>
                <w:b w:val="0"/>
                <w:i w:val="0"/>
                <w:color w:val="000000"/>
                <w:sz w:val="20"/>
              </w:rPr>
              <w:t>• GST laws/regulations</w:t>
            </w:r>
          </w:p>
          <w:p>
            <w:pPr>
              <w:spacing w:before="0" w:after="20"/>
              <w:ind w:left="200" w:hanging="200"/>
              <w:jc w:val="left"/>
            </w:pPr>
            <w:r>
              <w:rPr>
                <w:rFonts w:ascii="Microsoft Sans Serif" w:hAnsi="Microsoft Sans Serif"/>
                <w:b w:val="0"/>
                <w:i w:val="0"/>
                <w:color w:val="000000"/>
                <w:sz w:val="20"/>
              </w:rPr>
              <w:t>• Income Tax Act, 1961</w:t>
            </w:r>
          </w:p>
          <w:p>
            <w:pPr>
              <w:spacing w:before="0" w:after="20"/>
              <w:ind w:left="200" w:hanging="200"/>
              <w:jc w:val="left"/>
            </w:pPr>
            <w:r>
              <w:rPr>
                <w:rFonts w:ascii="Microsoft Sans Serif" w:hAnsi="Microsoft Sans Serif"/>
                <w:b w:val="0"/>
                <w:i w:val="0"/>
                <w:color w:val="000000"/>
                <w:sz w:val="20"/>
              </w:rPr>
              <w:t>• Company's Act, 2013</w:t>
            </w:r>
          </w:p>
          <w:p>
            <w:pPr>
              <w:spacing w:before="0" w:after="20"/>
              <w:ind w:left="200" w:hanging="200"/>
              <w:jc w:val="left"/>
            </w:pPr>
            <w:r>
              <w:rPr>
                <w:rFonts w:ascii="Microsoft Sans Serif" w:hAnsi="Microsoft Sans Serif"/>
                <w:b w:val="0"/>
                <w:i w:val="0"/>
                <w:color w:val="000000"/>
                <w:sz w:val="20"/>
              </w:rPr>
              <w:t>• Foreign Exchange Rules &amp; Regulations</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One-time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w:t>
            </w:r>
          </w:p>
        </w:tc>
      </w:tr>
      <w:tr>
        <w:tc>
          <w:tcPr>
            <w:tcW w:type="dxa" w:w="6336"/>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val="0"/>
                <w:i w:val="0"/>
                <w:color w:val="C00000"/>
                <w:sz w:val="20"/>
              </w:rPr>
              <w:t>Basic due diligence from perspective of*–</w:t>
            </w:r>
          </w:p>
          <w:p>
            <w:pPr>
              <w:spacing w:before="0" w:after="20"/>
              <w:ind w:left="200" w:hanging="200"/>
              <w:jc w:val="left"/>
            </w:pPr>
            <w:r>
              <w:rPr>
                <w:rFonts w:ascii="Microsoft Sans Serif" w:hAnsi="Microsoft Sans Serif"/>
                <w:b w:val="0"/>
                <w:i w:val="0"/>
                <w:color w:val="000000"/>
                <w:sz w:val="20"/>
              </w:rPr>
              <w:t>• Company's Act, 2013</w:t>
            </w:r>
          </w:p>
          <w:p>
            <w:pPr>
              <w:spacing w:before="0" w:after="20"/>
              <w:ind w:left="200" w:hanging="200"/>
              <w:jc w:val="left"/>
            </w:pPr>
            <w:r>
              <w:rPr>
                <w:rFonts w:ascii="Microsoft Sans Serif" w:hAnsi="Microsoft Sans Serif"/>
                <w:b w:val="0"/>
                <w:i w:val="0"/>
                <w:color w:val="000000"/>
                <w:sz w:val="20"/>
              </w:rPr>
              <w:t>• Income Tax Act, 1961</w:t>
            </w:r>
          </w:p>
          <w:p>
            <w:pPr>
              <w:spacing w:before="0" w:after="20"/>
              <w:ind w:left="200" w:hanging="200"/>
              <w:jc w:val="left"/>
            </w:pPr>
            <w:r>
              <w:rPr>
                <w:rFonts w:ascii="Microsoft Sans Serif" w:hAnsi="Microsoft Sans Serif"/>
                <w:b w:val="0"/>
                <w:i w:val="0"/>
                <w:color w:val="000000"/>
                <w:sz w:val="20"/>
              </w:rPr>
              <w:t>• Goods and Service Tax Act, 2017</w:t>
            </w:r>
          </w:p>
          <w:p>
            <w:pPr>
              <w:spacing w:before="0" w:after="20"/>
              <w:ind w:left="200" w:hanging="200"/>
              <w:jc w:val="left"/>
            </w:pPr>
            <w:r>
              <w:rPr>
                <w:rFonts w:ascii="Microsoft Sans Serif" w:hAnsi="Microsoft Sans Serif"/>
                <w:b w:val="0"/>
                <w:i w:val="0"/>
                <w:color w:val="000000"/>
                <w:sz w:val="20"/>
              </w:rPr>
              <w:t>• Foreign Exchange Management Act, 1999</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One-time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 per year</w:t>
            </w:r>
          </w:p>
        </w:tc>
      </w:tr>
    </w:tbl>
    <w:p>
      <w:pPr>
        <w:spacing w:before="0" w:after="120"/>
        <w:ind w:left="0" w:firstLine="0"/>
        <w:jc w:val="left"/>
      </w:pPr>
    </w:p>
    <w:p>
      <w:pPr>
        <w:spacing w:before="40" w:after="40"/>
        <w:ind w:left="0" w:firstLine="0"/>
        <w:jc w:val="left"/>
      </w:pPr>
      <w:r>
        <w:rPr>
          <w:rFonts w:ascii="Roboto" w:hAnsi="Roboto"/>
          <w:b w:val="0"/>
          <w:i/>
          <w:color w:val="000000"/>
          <w:sz w:val="16"/>
        </w:rPr>
        <w:t>*Any fees for rectification (or) completion of pending past compliances shall attract additional fees and we shall seek your approval prior to commencement of that work.</w:t>
      </w:r>
    </w:p>
    <w:p>
      <w:pPr>
        <w:spacing w:before="0" w:after="12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any fees towards regularisation of past non compliances.</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120"/>
        <w:ind w:left="0" w:firstLine="0"/>
        <w:jc w:val="left"/>
      </w:pPr>
    </w:p>
    <w:p>
      <w:pPr>
        <w:spacing w:before="200" w:after="160"/>
        <w:ind w:left="80" w:firstLine="0"/>
        <w:jc w:val="left"/>
      </w:pPr>
      <w:r>
        <w:rPr>
          <w:rFonts w:ascii="Roboto" w:hAnsi="Roboto"/>
          <w:b/>
          <w:i w:val="0"/>
          <w:color w:val="C00000"/>
          <w:sz w:val="20"/>
        </w:rPr>
        <w:t>B. Incorporation / Secretarial Service and Mandatory Registrations post Incorporation</w:t>
      </w:r>
    </w:p>
    <w:p>
      <w:pPr>
        <w:spacing w:before="0" w:after="40"/>
        <w:ind w:left="0" w:firstLine="0"/>
        <w:jc w:val="left"/>
      </w:pPr>
    </w:p>
    <w:tbl>
      <w:tblPr>
        <w:tblStyle w:val="TableGrid"/>
        <w:tblW w:type="auto" w:w="0"/>
        <w:tblLook w:firstColumn="1" w:firstRow="1" w:lastColumn="0" w:lastRow="0" w:noHBand="0" w:noVBand="1" w:val="04A0"/>
      </w:tblPr>
      <w:tblGrid>
        <w:gridCol w:w="5400"/>
        <w:gridCol w:w="5400"/>
      </w:tblGrid>
      <w:tr>
        <w:tc>
          <w:tcPr>
            <w:tcW w:type="dxa" w:w="8208"/>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top"/>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One-time Fee</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Incorporation</w:t>
            </w:r>
          </w:p>
          <w:p>
            <w:pPr>
              <w:spacing w:before="0" w:after="20"/>
              <w:ind w:left="200" w:hanging="200"/>
              <w:jc w:val="left"/>
            </w:pPr>
            <w:r>
              <w:rPr>
                <w:rFonts w:ascii="Microsoft Sans Serif" w:hAnsi="Microsoft Sans Serif"/>
                <w:b w:val="0"/>
                <w:i w:val="0"/>
                <w:color w:val="000000"/>
                <w:sz w:val="20"/>
              </w:rPr>
              <w:t>• PAN of the company included</w:t>
            </w:r>
          </w:p>
          <w:p>
            <w:pPr>
              <w:spacing w:before="0" w:after="20"/>
              <w:ind w:left="200" w:hanging="200"/>
              <w:jc w:val="left"/>
            </w:pPr>
            <w:r>
              <w:rPr>
                <w:rFonts w:ascii="Microsoft Sans Serif" w:hAnsi="Microsoft Sans Serif"/>
                <w:b w:val="0"/>
                <w:i w:val="0"/>
                <w:color w:val="000000"/>
                <w:sz w:val="20"/>
              </w:rPr>
              <w:t>• TAN of the company included</w:t>
            </w:r>
          </w:p>
          <w:p>
            <w:pPr>
              <w:spacing w:before="0" w:after="20"/>
              <w:ind w:left="200" w:hanging="200"/>
              <w:jc w:val="left"/>
            </w:pPr>
            <w:r>
              <w:rPr>
                <w:rFonts w:ascii="Microsoft Sans Serif" w:hAnsi="Microsoft Sans Serif"/>
                <w:b w:val="0"/>
                <w:i w:val="0"/>
                <w:color w:val="000000"/>
                <w:sz w:val="20"/>
              </w:rPr>
              <w:t>• Employees' Provident Fund and Miscellaneous Provision Act, Employees' State Insurance Corporation Act included</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1,500</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FCGPR Filing with Reserve Bank of India</w:t>
            </w:r>
          </w:p>
          <w:p>
            <w:pPr>
              <w:spacing w:before="0" w:after="20"/>
              <w:ind w:left="0" w:firstLine="0"/>
              <w:jc w:val="left"/>
            </w:pPr>
            <w:r>
              <w:rPr>
                <w:rFonts w:ascii="Microsoft Sans Serif" w:hAnsi="Microsoft Sans Serif"/>
                <w:b w:val="0"/>
                <w:i w:val="0"/>
                <w:color w:val="000000"/>
                <w:sz w:val="20"/>
              </w:rPr>
              <w:t>Filing of Forms and declaration with RBI as required under FEMA</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1,250 per applicant</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Statutory Compliances with Registrar of Companies under Companies Act:</w:t>
            </w:r>
          </w:p>
          <w:p>
            <w:pPr>
              <w:spacing w:before="0" w:after="20"/>
              <w:ind w:left="200" w:hanging="200"/>
              <w:jc w:val="left"/>
            </w:pPr>
            <w:r>
              <w:rPr>
                <w:rFonts w:ascii="Microsoft Sans Serif" w:hAnsi="Microsoft Sans Serif"/>
                <w:b w:val="0"/>
                <w:i w:val="0"/>
                <w:color w:val="000000"/>
                <w:sz w:val="20"/>
              </w:rPr>
              <w:t>• Drafting of first board meeting documents</w:t>
            </w:r>
          </w:p>
          <w:p>
            <w:pPr>
              <w:spacing w:before="0" w:after="20"/>
              <w:ind w:left="200" w:hanging="200"/>
              <w:jc w:val="left"/>
            </w:pPr>
            <w:r>
              <w:rPr>
                <w:rFonts w:ascii="Microsoft Sans Serif" w:hAnsi="Microsoft Sans Serif"/>
                <w:b w:val="0"/>
                <w:i w:val="0"/>
                <w:color w:val="000000"/>
                <w:sz w:val="20"/>
              </w:rPr>
              <w:t>• Guidance on capital infusion in bank account</w:t>
            </w:r>
          </w:p>
          <w:p>
            <w:pPr>
              <w:spacing w:before="0" w:after="20"/>
              <w:ind w:left="200" w:hanging="200"/>
              <w:jc w:val="left"/>
            </w:pPr>
            <w:r>
              <w:rPr>
                <w:rFonts w:ascii="Microsoft Sans Serif" w:hAnsi="Microsoft Sans Serif"/>
                <w:b w:val="0"/>
                <w:i w:val="0"/>
                <w:color w:val="000000"/>
                <w:sz w:val="20"/>
              </w:rPr>
              <w:t>• File form with Ministry for commencement of business (COC)</w:t>
            </w:r>
          </w:p>
          <w:p>
            <w:pPr>
              <w:spacing w:before="0" w:after="20"/>
              <w:ind w:left="200" w:hanging="200"/>
              <w:jc w:val="left"/>
            </w:pPr>
            <w:r>
              <w:rPr>
                <w:rFonts w:ascii="Microsoft Sans Serif" w:hAnsi="Microsoft Sans Serif"/>
                <w:b w:val="0"/>
                <w:i w:val="0"/>
                <w:color w:val="000000"/>
                <w:sz w:val="20"/>
              </w:rPr>
              <w:t>• Preparation of statutory shareholders register</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w:t>
            </w:r>
          </w:p>
        </w:tc>
      </w:tr>
    </w:tbl>
    <w:p>
      <w:pPr>
        <w:spacing w:before="0" w:after="16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both"/>
      </w:pPr>
      <w:r>
        <w:rPr>
          <w:rFonts w:ascii="Microsoft Sans Serif" w:hAnsi="Microsoft Sans Serif"/>
          <w:b w:val="0"/>
          <w:i w:val="0"/>
          <w:color w:val="000000"/>
          <w:sz w:val="20"/>
        </w:rPr>
        <w:t>• On finalization of shareholding structure, we shall be able to guide on compliances needed for issuance of share certificates and shall share a separate fee quote for the same.</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80"/>
        <w:ind w:left="0" w:firstLine="0"/>
        <w:jc w:val="left"/>
      </w:pPr>
    </w:p>
    <w:p>
      <w:pPr>
        <w:spacing w:before="200" w:after="160"/>
        <w:ind w:left="80" w:firstLine="0"/>
        <w:jc w:val="left"/>
      </w:pPr>
      <w:r>
        <w:rPr>
          <w:rFonts w:ascii="Roboto" w:hAnsi="Roboto"/>
          <w:b/>
          <w:i w:val="0"/>
          <w:color w:val="C00000"/>
          <w:sz w:val="20"/>
        </w:rPr>
        <w:t>Optional registrations required post incorporation (One-time)</w:t>
      </w:r>
    </w:p>
    <w:p>
      <w:pPr>
        <w:spacing w:before="0" w:after="60"/>
        <w:ind w:left="0" w:firstLine="0"/>
        <w:jc w:val="left"/>
      </w:pPr>
    </w:p>
    <w:tbl>
      <w:tblPr>
        <w:tblStyle w:val="TableGrid"/>
        <w:tblW w:type="auto" w:w="0"/>
        <w:tblLook w:firstColumn="1" w:firstRow="1" w:lastColumn="0" w:lastRow="0" w:noHBand="0" w:noVBand="1" w:val="04A0"/>
      </w:tblPr>
      <w:tblGrid>
        <w:gridCol w:w="5400"/>
        <w:gridCol w:w="5400"/>
      </w:tblGrid>
      <w:tr>
        <w:tc>
          <w:tcPr>
            <w:tcW w:type="dxa" w:w="8208"/>
            <w:vAlign w:val="center"/>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Fees (In USD)</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Import Export Code (IEC Code)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Profession Tax (PT) - Payments and return filing for company, its employees until the company's certificate of commencement is obtained</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Submission of for Significant Beneficial Ownership via form BEN-2</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250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Physical PAN Card of the company</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300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Trademark Registration (exclusive of disbursement fees)</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350</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PAN for foreign director</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director</w:t>
            </w:r>
          </w:p>
        </w:tc>
      </w:tr>
      <w:tr>
        <w:tc>
          <w:tcPr>
            <w:tcW w:type="dxa" w:w="8208"/>
            <w:vAlign w:val="center"/>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Assistance in opening of bank account</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250</w:t>
            </w:r>
          </w:p>
        </w:tc>
      </w:tr>
    </w:tbl>
    <w:p>
      <w:pPr>
        <w:spacing w:before="0" w:after="120"/>
        <w:ind w:left="0" w:firstLine="0"/>
        <w:jc w:val="left"/>
      </w:pPr>
    </w:p>
    <w:p>
      <w:pPr>
        <w:spacing w:before="40" w:after="40"/>
        <w:ind w:left="0" w:firstLine="0"/>
        <w:jc w:val="left"/>
      </w:pPr>
      <w:r>
        <w:rPr>
          <w:rFonts w:ascii="Roboto" w:hAnsi="Roboto"/>
          <w:b w:val="0"/>
          <w:i/>
          <w:color w:val="000000"/>
          <w:sz w:val="16"/>
        </w:rPr>
        <w:t>*For every new director's professional tax no., there shall be additional cost of $100 per director</w:t>
      </w:r>
    </w:p>
    <w:p>
      <w:pPr>
        <w:spacing w:before="40" w:after="40"/>
        <w:ind w:left="0" w:firstLine="0"/>
        <w:jc w:val="left"/>
      </w:pPr>
      <w:r>
        <w:rPr>
          <w:rFonts w:ascii="Roboto" w:hAnsi="Roboto"/>
          <w:b w:val="0"/>
          <w:i/>
          <w:color w:val="000000"/>
          <w:sz w:val="16"/>
        </w:rPr>
        <w:t>*Digital signature certificate (DSC) token can be obtained at a cost of USD 200 per applicant.</w:t>
      </w:r>
    </w:p>
    <w:p>
      <w:pPr>
        <w:spacing w:before="0" w:after="20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80"/>
        <w:ind w:left="0" w:firstLine="0"/>
        <w:jc w:val="left"/>
      </w:pPr>
    </w:p>
    <w:p>
      <w:pPr>
        <w:spacing w:before="200" w:after="160"/>
        <w:ind w:left="80" w:firstLine="0"/>
        <w:jc w:val="left"/>
      </w:pPr>
      <w:r>
        <w:rPr>
          <w:rFonts w:ascii="Roboto" w:hAnsi="Roboto"/>
          <w:b/>
          <w:i w:val="0"/>
          <w:color w:val="C00000"/>
          <w:sz w:val="20"/>
        </w:rPr>
        <w:t>Nominee Director and Registered Office Address Service</w:t>
      </w:r>
    </w:p>
    <w:p>
      <w:pPr>
        <w:spacing w:before="0" w:after="80"/>
        <w:ind w:left="0" w:firstLine="0"/>
        <w:jc w:val="left"/>
      </w:pPr>
    </w:p>
    <w:tbl>
      <w:tblPr>
        <w:tblStyle w:val="TableGrid"/>
        <w:tblW w:type="auto" w:w="0"/>
        <w:tblLook w:firstColumn="1" w:firstRow="1" w:lastColumn="0" w:lastRow="0" w:noHBand="0" w:noVBand="1" w:val="04A0"/>
      </w:tblPr>
      <w:tblGrid>
        <w:gridCol w:w="5400"/>
        <w:gridCol w:w="5400"/>
      </w:tblGrid>
      <w:tr>
        <w:tc>
          <w:tcPr>
            <w:tcW w:type="dxa" w:w="8208"/>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Services</w:t>
            </w:r>
          </w:p>
        </w:tc>
        <w:tc>
          <w:tcPr>
            <w:tcW w:type="dxa" w:w="2160"/>
            <w:vAlign w:val="top"/>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Monthly Fee(in USD)</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Registered Office Service</w:t>
            </w:r>
          </w:p>
          <w:p>
            <w:pPr>
              <w:spacing w:before="0" w:after="20"/>
              <w:ind w:left="0" w:firstLine="0"/>
              <w:jc w:val="left"/>
            </w:pPr>
            <w:r>
              <w:rPr>
                <w:rFonts w:ascii="Microsoft Sans Serif" w:hAnsi="Microsoft Sans Serif"/>
                <w:b w:val="0"/>
                <w:i w:val="0"/>
                <w:color w:val="000000"/>
                <w:sz w:val="20"/>
              </w:rPr>
              <w:t>A refundable Security deposit @USD 2500 applies**. Refundable upon cessation of Registered office service.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300</w:t>
            </w:r>
          </w:p>
        </w:tc>
      </w:tr>
      <w:tr>
        <w:tc>
          <w:tcPr>
            <w:tcW w:type="dxa" w:w="8208"/>
            <w:vAlign w:val="top"/>
            <w:tcBorders>
              <w:top w:val="single" w:sz="4" w:color="000000"/>
              <w:left w:val="single" w:sz="4" w:color="000000"/>
              <w:right w:val="single" w:sz="4" w:color="000000"/>
              <w:bottom w:val="single" w:sz="4" w:color="000000"/>
            </w:tcBorders>
          </w:tcPr>
          <w:p>
            <w:pPr>
              <w:spacing w:before="0" w:after="20"/>
              <w:ind w:left="0" w:firstLine="0"/>
              <w:jc w:val="left"/>
            </w:pPr>
            <w:r>
              <w:rPr>
                <w:rFonts w:ascii="Roboto" w:hAnsi="Roboto"/>
                <w:b/>
                <w:i w:val="0"/>
                <w:color w:val="C00000"/>
                <w:sz w:val="20"/>
              </w:rPr>
              <w:t>Nominee Director Service</w:t>
            </w:r>
          </w:p>
          <w:p>
            <w:pPr>
              <w:spacing w:before="0" w:after="20"/>
              <w:ind w:left="0" w:firstLine="0"/>
              <w:jc w:val="left"/>
            </w:pPr>
            <w:r>
              <w:rPr>
                <w:rFonts w:ascii="Microsoft Sans Serif" w:hAnsi="Microsoft Sans Serif"/>
                <w:b w:val="0"/>
                <w:i w:val="0"/>
                <w:color w:val="000000"/>
                <w:sz w:val="20"/>
              </w:rPr>
              <w:t>A refundable Security deposit per nominee @USD 5000 applies*. Refundable upon cessation of Nominee Director Service</w:t>
            </w:r>
          </w:p>
          <w:p>
            <w:pPr>
              <w:spacing w:before="0" w:after="20"/>
              <w:ind w:left="0" w:firstLine="0"/>
              <w:jc w:val="left"/>
            </w:pPr>
            <w:r>
              <w:rPr>
                <w:rFonts w:ascii="Microsoft Sans Serif" w:hAnsi="Microsoft Sans Serif"/>
                <w:b w:val="0"/>
                <w:i w:val="0"/>
                <w:color w:val="000000"/>
                <w:sz w:val="20"/>
              </w:rPr>
              <w:t>Director's fee for attending a physical or recorded or live board meeting @USD300 per director per board meeting</w:t>
            </w:r>
          </w:p>
          <w:p>
            <w:pPr>
              <w:spacing w:before="0" w:after="20"/>
              <w:ind w:left="0" w:firstLine="0"/>
              <w:jc w:val="left"/>
            </w:pPr>
            <w:r>
              <w:rPr>
                <w:rFonts w:ascii="Microsoft Sans Serif" w:hAnsi="Microsoft Sans Serif"/>
                <w:b w:val="0"/>
                <w:i w:val="0"/>
                <w:color w:val="000000"/>
                <w:sz w:val="20"/>
              </w:rPr>
              <w:t>Every nominee director needs to be protected under a director's indemnity policy. Premium of indemnity bond to be charged on actual basis. InCorp shall enter into a separate nominee directors'  agreement at the time of engagement.</w:t>
            </w:r>
          </w:p>
          <w:p>
            <w:pPr>
              <w:spacing w:before="0" w:after="20"/>
              <w:ind w:left="0" w:firstLine="0"/>
              <w:jc w:val="left"/>
            </w:pPr>
            <w:r>
              <w:rPr>
                <w:rFonts w:ascii="Microsoft Sans Serif" w:hAnsi="Microsoft Sans Serif"/>
                <w:b w:val="0"/>
                <w:i w:val="0"/>
                <w:color w:val="000000"/>
                <w:sz w:val="20"/>
              </w:rPr>
              <w:t>To ensure the removal of a nominee director from registrations ***with various authorities where required, InCorp must be notified at least three months in advance. Additionally, professional fees for this service will continue to be charged until the removal is reflected by all relevant authorities as well as Bank &amp; new director is appointed in his place.</w:t>
            </w:r>
          </w:p>
        </w:tc>
        <w:tc>
          <w:tcPr>
            <w:tcW w:type="dxa" w:w="2160"/>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350</w:t>
            </w:r>
          </w:p>
        </w:tc>
      </w:tr>
    </w:tbl>
    <w:p>
      <w:pPr>
        <w:spacing w:before="40" w:after="40"/>
        <w:ind w:left="0" w:firstLine="0"/>
        <w:jc w:val="left"/>
      </w:pPr>
      <w:r>
        <w:rPr>
          <w:rFonts w:ascii="Roboto" w:hAnsi="Roboto"/>
          <w:b w:val="0"/>
          <w:i/>
          <w:color w:val="000000"/>
          <w:sz w:val="16"/>
        </w:rPr>
        <w:t>*Failure to engage InCorp's services for regular compliances of the company post the setup such as tax, secretarial, FEMA etc. shall result in forfeiture of the security deposit received against nominee director and registered office services.</w:t>
      </w:r>
    </w:p>
    <w:p>
      <w:pPr>
        <w:spacing w:before="0" w:after="40"/>
        <w:ind w:left="0" w:firstLine="0"/>
        <w:jc w:val="left"/>
      </w:pPr>
    </w:p>
    <w:p>
      <w:pPr>
        <w:spacing w:before="40" w:after="40"/>
        <w:ind w:left="0" w:firstLine="0"/>
        <w:jc w:val="left"/>
      </w:pPr>
      <w:r>
        <w:rPr>
          <w:rFonts w:ascii="Roboto" w:hAnsi="Roboto"/>
          <w:b w:val="0"/>
          <w:i/>
          <w:color w:val="000000"/>
          <w:sz w:val="16"/>
        </w:rPr>
        <w:t>**Any fees for rectification (or) completion of pending past compliances shall attract additional fees and we shall seek your approval prior to commencement of that work.</w:t>
      </w:r>
    </w:p>
    <w:p>
      <w:pPr>
        <w:spacing w:before="0" w:after="40"/>
        <w:ind w:left="0" w:firstLine="0"/>
        <w:jc w:val="left"/>
      </w:pPr>
    </w:p>
    <w:p>
      <w:pPr>
        <w:spacing w:before="40" w:after="40"/>
        <w:ind w:left="0" w:firstLine="0"/>
        <w:jc w:val="left"/>
      </w:pPr>
      <w:r>
        <w:rPr>
          <w:rFonts w:ascii="Roboto" w:hAnsi="Roboto"/>
          <w:b w:val="0"/>
          <w:i/>
          <w:color w:val="000000"/>
          <w:sz w:val="16"/>
        </w:rPr>
        <w:t>***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before="0" w:after="12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The Nominee Director will not be involved in day-to-day affairs / management of the Company. He/She shall not sign any return, forms or documents relating to any statutory filing.</w:t>
      </w:r>
    </w:p>
    <w:p>
      <w:pPr>
        <w:spacing w:before="0" w:after="40"/>
        <w:ind w:left="0" w:firstLine="0"/>
        <w:jc w:val="both"/>
      </w:pPr>
      <w:r>
        <w:rPr>
          <w:rFonts w:ascii="Microsoft Sans Serif" w:hAnsi="Microsoft Sans Serif"/>
          <w:b w:val="0"/>
          <w:i w:val="0"/>
          <w:color w:val="000000"/>
          <w:sz w:val="20"/>
        </w:rPr>
        <w:t>•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before="0" w:after="40"/>
        <w:ind w:left="0" w:firstLine="0"/>
        <w:jc w:val="both"/>
      </w:pPr>
      <w:r>
        <w:rPr>
          <w:rFonts w:ascii="Microsoft Sans Serif" w:hAnsi="Microsoft Sans Serif"/>
          <w:b w:val="0"/>
          <w:i w:val="0"/>
          <w:color w:val="000000"/>
          <w:sz w:val="20"/>
        </w:rPr>
        <w:t>• Failure to engage InCorp's services for regular compliances of the company post the setup such as tax, secretarial, FEMA etc. shall result in forfeiture of the security deposit received against registered office and nominee director services.</w:t>
      </w:r>
    </w:p>
    <w:p>
      <w:pPr>
        <w:spacing w:before="0" w:after="40"/>
        <w:ind w:left="0" w:firstLine="0"/>
        <w:jc w:val="both"/>
      </w:pPr>
      <w:r>
        <w:rPr>
          <w:rFonts w:ascii="Microsoft Sans Serif" w:hAnsi="Microsoft Sans Serif"/>
          <w:b w:val="0"/>
          <w:i w:val="0"/>
          <w:color w:val="000000"/>
          <w:sz w:val="20"/>
        </w:rPr>
        <w:t>•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120"/>
        <w:ind w:left="0" w:firstLine="0"/>
        <w:jc w:val="left"/>
      </w:pPr>
    </w:p>
    <w:p>
      <w:pPr>
        <w:spacing w:before="200" w:after="160"/>
        <w:ind w:left="80" w:firstLine="0"/>
        <w:jc w:val="left"/>
      </w:pPr>
      <w:r>
        <w:rPr>
          <w:rFonts w:ascii="Roboto" w:hAnsi="Roboto"/>
          <w:b/>
          <w:i w:val="0"/>
          <w:color w:val="C00000"/>
          <w:sz w:val="20"/>
        </w:rPr>
        <w:t>C. Accounting / Tax / Payroll / Annual Compliance Services</w:t>
      </w:r>
    </w:p>
    <w:p>
      <w:pPr>
        <w:spacing w:before="0" w:after="100"/>
        <w:ind w:left="0" w:firstLine="0"/>
        <w:jc w:val="left"/>
      </w:pPr>
    </w:p>
    <w:p>
      <w:pPr>
        <w:spacing w:before="0" w:after="0"/>
        <w:ind w:left="0" w:firstLine="0"/>
        <w:jc w:val="left"/>
      </w:pPr>
      <w:r>
        <w:rPr>
          <w:rFonts w:ascii="Microsoft Sans Serif" w:hAnsi="Microsoft Sans Serif"/>
          <w:b w:val="0"/>
          <w:i w:val="0"/>
          <w:color w:val="000000"/>
          <w:sz w:val="20"/>
        </w:rPr>
        <w:t>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120"/>
        <w:ind w:left="0" w:firstLine="0"/>
        <w:jc w:val="left"/>
      </w:pPr>
    </w:p>
    <w:tbl>
      <w:tblPr>
        <w:tblStyle w:val="TableGrid"/>
        <w:tblW w:type="auto" w:w="0"/>
        <w:tblLook w:firstColumn="1" w:firstRow="1" w:lastColumn="0" w:lastRow="0" w:noHBand="0" w:noVBand="1" w:val="04A0"/>
      </w:tblPr>
      <w:tblGrid>
        <w:gridCol w:w="2700"/>
        <w:gridCol w:w="2700"/>
        <w:gridCol w:w="2700"/>
        <w:gridCol w:w="2700"/>
      </w:tblGrid>
      <w:tr>
        <w:tc>
          <w:tcPr>
            <w:tcW w:type="dxa" w:w="1872"/>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Services</w:t>
            </w:r>
          </w:p>
        </w:tc>
        <w:tc>
          <w:tcPr>
            <w:tcW w:type="dxa" w:w="1872"/>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Frequency</w:t>
            </w:r>
          </w:p>
        </w:tc>
        <w:tc>
          <w:tcPr>
            <w:tcW w:type="dxa" w:w="4608"/>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Notes</w:t>
            </w:r>
          </w:p>
        </w:tc>
        <w:tc>
          <w:tcPr>
            <w:tcW w:type="dxa" w:w="2016"/>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Fees (in USD)</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Direct tax compliances</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Quarterly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1) Advance tax Compliances</w:t>
              <w:br/>
              <w:t>• Quarterly calculations and payment</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one time</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Monthly/Quarterly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2) TDS compliances:</w:t>
              <w:br/>
              <w:t>• Calculation and Payment of TDS</w:t>
              <w:br/>
              <w:t>• Filing of TDS Returns</w:t>
              <w:br/>
              <w:t>(The above excludes cost of revisions of TDS returns. The fee quote for the same shall be shared if applicable)</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3) Annual Income tax return</w:t>
              <w:br/>
              <w:t>Computation and filing of Annual Income tax Return</w:t>
              <w:br/>
              <w:t>4) Statement of Financial Transactions (SFT) – Basic Reporting</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Indirect tax compliances</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 and 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1) GST Compliances:</w:t>
              <w:br/>
              <w:t>• Calculations and payment of GST</w:t>
              <w:br/>
              <w:t>• Filing of monthly GST Returns</w:t>
              <w:br/>
              <w:t>(The above excludes cost of revisions of GST returns. The fee quote for the same shall be shared if applicable)</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Company Law</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Company Law Compliances (Scope as per Annexure 1)</w:t>
              <w:br/>
              <w:t>Assistance on conduction of virtual board meeting – USD 150 per board meeting</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Foreign Exchange laws</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Annual Filings with Reserve bank of India</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450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Accounting</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 time</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Setup of accounting software</w:t>
              <w:br/>
              <w:t>• Liaison with the software expert for the setup</w:t>
              <w:br/>
              <w:t>• Ensure due configuration of the software with applicable laws</w:t>
              <w:br/>
              <w:t>• Short tutorial on guidance with respect to use of accounting software</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300 one time</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Accounting and maintenance of books of accounts:</w:t>
              <w:br/>
              <w:t>• Data entry in accounting software</w:t>
              <w:br/>
              <w:t>• Weekly processing of Bank Reconciliation</w:t>
              <w:br/>
              <w:t>• Weekly processing of Purchase invoices</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Payroll</w:t>
            </w: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 time</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Payroll Setup (Scope as per Annexure 2)</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500 one time</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Payroll Processing (Scope as per Annexure 3)</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125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Monthly</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Labour Law Compliances • Payments and return filing under:</w:t>
              <w:br/>
              <w:t>• Provident Fund</w:t>
              <w:br/>
              <w:t>• Employees State Insurance Corporation</w:t>
              <w:br/>
              <w:t>• Profession Tax</w:t>
              <w:br/>
              <w:t>• Labor Welfare Fund</w:t>
              <w:br/>
              <w:t>(for employees upto 20 – fixed fee)</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month</w:t>
            </w:r>
          </w:p>
        </w:tc>
      </w:tr>
      <w:tr>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Annual</w:t>
            </w:r>
          </w:p>
        </w:tc>
        <w:tc>
          <w:tcPr>
            <w:tcW w:type="dxa" w:w="4608"/>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Annual Return under the following labor law compliances:</w:t>
              <w:br/>
              <w:t>• Sexual Harassment of Women at Workplace Act, 2013</w:t>
              <w:br/>
              <w:t>• Shop and Establishment Act</w:t>
              <w:br/>
              <w:t>• Maternity Act</w:t>
              <w:br/>
              <w:t>• Gratuity Act</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200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Total costs (excluding one time costs)</w:t>
            </w:r>
          </w:p>
        </w:tc>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4608"/>
            <w:vAlign w:val="top"/>
            <w:tcBorders>
              <w:top w:val="single" w:sz="4" w:color="000000"/>
              <w:left w:val="single" w:sz="4" w:color="000000"/>
              <w:right w:val="single" w:sz="4" w:color="000000"/>
              <w:bottom w:val="single" w:sz="4" w:color="000000"/>
            </w:tcBorders>
          </w:tcPr>
          <w:p>
            <w:pPr>
              <w:jc w:val="left"/>
            </w:pP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15,450 per annum</w:t>
            </w:r>
          </w:p>
        </w:tc>
      </w:tr>
      <w:tr>
        <w:tc>
          <w:tcPr>
            <w:tcW w:type="dxa" w:w="1872"/>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One-time costs</w:t>
            </w:r>
          </w:p>
        </w:tc>
        <w:tc>
          <w:tcPr>
            <w:tcW w:type="dxa" w:w="1872"/>
            <w:vAlign w:val="center"/>
            <w:tcBorders>
              <w:top w:val="single" w:sz="4" w:color="000000"/>
              <w:left w:val="single" w:sz="4" w:color="000000"/>
              <w:right w:val="single" w:sz="4" w:color="000000"/>
              <w:bottom w:val="single" w:sz="4" w:color="000000"/>
            </w:tcBorders>
          </w:tcPr>
          <w:p>
            <w:pPr>
              <w:jc w:val="center"/>
            </w:pPr>
          </w:p>
        </w:tc>
        <w:tc>
          <w:tcPr>
            <w:tcW w:type="dxa" w:w="4608"/>
            <w:vAlign w:val="top"/>
            <w:tcBorders>
              <w:top w:val="single" w:sz="4" w:color="000000"/>
              <w:left w:val="single" w:sz="4" w:color="000000"/>
              <w:right w:val="single" w:sz="4" w:color="000000"/>
              <w:bottom w:val="single" w:sz="4" w:color="000000"/>
            </w:tcBorders>
          </w:tcPr>
          <w:p>
            <w:pPr>
              <w:jc w:val="left"/>
            </w:pP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800 one time</w:t>
            </w:r>
          </w:p>
        </w:tc>
      </w:tr>
    </w:tbl>
    <w:p>
      <w:pPr>
        <w:spacing w:before="0" w:after="120"/>
        <w:ind w:left="0" w:firstLine="0"/>
        <w:jc w:val="left"/>
      </w:pPr>
    </w:p>
    <w:p>
      <w:pPr>
        <w:spacing w:before="40" w:after="40"/>
        <w:ind w:left="0" w:firstLine="0"/>
        <w:jc w:val="left"/>
      </w:pPr>
      <w:r>
        <w:rPr>
          <w:rFonts w:ascii="Roboto" w:hAnsi="Roboto"/>
          <w:b w:val="0"/>
          <w:i/>
          <w:color w:val="000000"/>
          <w:sz w:val="16"/>
        </w:rPr>
        <w:t>*The above quotation fee is for approx.20 transactions per month</w:t>
      </w:r>
    </w:p>
    <w:p>
      <w:pPr>
        <w:spacing w:before="0" w:after="80"/>
        <w:ind w:left="0" w:firstLine="0"/>
        <w:jc w:val="left"/>
      </w:pPr>
    </w:p>
    <w:p>
      <w:pPr>
        <w:spacing w:before="40" w:after="40"/>
        <w:ind w:left="0" w:firstLine="0"/>
        <w:jc w:val="left"/>
      </w:pPr>
      <w:r>
        <w:rPr>
          <w:rFonts w:ascii="Roboto" w:hAnsi="Roboto"/>
          <w:b w:val="0"/>
          <w:i/>
          <w:color w:val="000000"/>
          <w:sz w:val="16"/>
        </w:rPr>
        <w:t>^InCorp's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80"/>
        <w:ind w:left="0" w:firstLine="0"/>
        <w:jc w:val="left"/>
      </w:pPr>
    </w:p>
    <w:p>
      <w:pPr>
        <w:spacing w:before="40" w:after="40"/>
        <w:ind w:left="0" w:firstLine="0"/>
        <w:jc w:val="left"/>
      </w:pPr>
      <w:r>
        <w:rPr>
          <w:rFonts w:ascii="Roboto" w:hAnsi="Roboto"/>
          <w:b w:val="0"/>
          <w:i/>
          <w:color w:val="000000"/>
          <w:sz w:val="16"/>
        </w:rPr>
        <w:t>^Audit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8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all out-of-pocket expenses like filing fees, courier expenses, government/statutory fees etc.</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and not specifically agreed separately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200"/>
        <w:ind w:left="0" w:firstLine="0"/>
        <w:jc w:val="left"/>
      </w:pPr>
    </w:p>
    <w:p>
      <w:pPr>
        <w:spacing w:before="200" w:after="160"/>
        <w:ind w:left="80" w:firstLine="0"/>
        <w:jc w:val="left"/>
      </w:pPr>
      <w:r>
        <w:rPr>
          <w:rFonts w:ascii="Roboto" w:hAnsi="Roboto"/>
          <w:b/>
          <w:i w:val="0"/>
          <w:color w:val="C00000"/>
          <w:sz w:val="20"/>
        </w:rPr>
        <w:t>D. Transfer Pricing compliances</w:t>
      </w:r>
    </w:p>
    <w:p>
      <w:pPr>
        <w:spacing w:before="0" w:after="80"/>
        <w:ind w:left="0" w:firstLine="0"/>
        <w:jc w:val="left"/>
      </w:pPr>
    </w:p>
    <w:tbl>
      <w:tblPr>
        <w:tblStyle w:val="TableGrid"/>
        <w:tblW w:type="auto" w:w="0"/>
        <w:tblLook w:firstColumn="1" w:firstRow="1" w:lastColumn="0" w:lastRow="0" w:noHBand="0" w:noVBand="1" w:val="04A0"/>
      </w:tblPr>
      <w:tblGrid>
        <w:gridCol w:w="2700"/>
        <w:gridCol w:w="2700"/>
        <w:gridCol w:w="2700"/>
        <w:gridCol w:w="2700"/>
      </w:tblGrid>
      <w:tr>
        <w:tc>
          <w:tcPr>
            <w:tcW w:type="dxa" w:w="2016"/>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Services</w:t>
            </w:r>
          </w:p>
        </w:tc>
        <w:tc>
          <w:tcPr>
            <w:tcW w:type="dxa" w:w="1584"/>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Frequency</w:t>
            </w:r>
          </w:p>
        </w:tc>
        <w:tc>
          <w:tcPr>
            <w:tcW w:type="dxa" w:w="4752"/>
            <w:vAlign w:val="top"/>
            <w:tcBorders>
              <w:top w:val="nil" w:sz="4" w:color="000000"/>
              <w:left w:val="nil" w:sz="4" w:color="000000"/>
              <w:right w:val="nil" w:sz="4" w:color="000000"/>
              <w:bottom w:val="single" w:sz="6" w:color="000000"/>
            </w:tcBorders>
          </w:tcPr>
          <w:p>
            <w:pPr>
              <w:jc w:val="left"/>
            </w:pPr>
            <w:r>
              <w:rPr>
                <w:rFonts w:ascii="Microsoft Sans Serif" w:hAnsi="Microsoft Sans Serif"/>
                <w:b/>
                <w:i w:val="0"/>
                <w:color w:val="000000"/>
                <w:sz w:val="20"/>
              </w:rPr>
              <w:t>Notes</w:t>
            </w:r>
          </w:p>
        </w:tc>
        <w:tc>
          <w:tcPr>
            <w:tcW w:type="dxa" w:w="2016"/>
            <w:vAlign w:val="center"/>
            <w:tcBorders>
              <w:top w:val="nil" w:sz="4" w:color="000000"/>
              <w:left w:val="nil" w:sz="4" w:color="000000"/>
              <w:right w:val="nil" w:sz="4" w:color="000000"/>
              <w:bottom w:val="single" w:sz="6" w:color="000000"/>
            </w:tcBorders>
          </w:tcPr>
          <w:p>
            <w:pPr>
              <w:jc w:val="center"/>
            </w:pPr>
            <w:r>
              <w:rPr>
                <w:rFonts w:ascii="Microsoft Sans Serif" w:hAnsi="Microsoft Sans Serif"/>
                <w:b/>
                <w:i w:val="0"/>
                <w:color w:val="000000"/>
                <w:sz w:val="20"/>
              </w:rPr>
              <w:t>Fee (In USD)</w:t>
            </w:r>
          </w:p>
        </w:tc>
      </w:tr>
      <w:tr>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Benchmarking</w:t>
            </w:r>
          </w:p>
        </w:tc>
        <w:tc>
          <w:tcPr>
            <w:tcW w:type="dxa" w:w="1584"/>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One-time</w:t>
            </w:r>
          </w:p>
        </w:tc>
        <w:tc>
          <w:tcPr>
            <w:tcW w:type="dxa" w:w="4752"/>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1. Assistance in conducting Functional, Asset and Risk Analysis of the proposed transaction to be entered between related parties.</w:t>
              <w:br/>
              <w:t>2. Assisting in arriving at the arm's length price or margin range that may be applicable to the proposed transaction.</w:t>
              <w:br/>
              <w:t>3. Preparation of final benchmarking report*.</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1,500 per business activity</w:t>
            </w:r>
          </w:p>
        </w:tc>
      </w:tr>
      <w:tr>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Inter-company agreement</w:t>
            </w:r>
          </w:p>
        </w:tc>
        <w:tc>
          <w:tcPr>
            <w:tcW w:type="dxa" w:w="1584"/>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One-time</w:t>
            </w:r>
          </w:p>
        </w:tc>
        <w:tc>
          <w:tcPr>
            <w:tcW w:type="dxa" w:w="4752"/>
            <w:vAlign w:val="top"/>
            <w:tcBorders>
              <w:top w:val="single" w:sz="4" w:color="000000"/>
              <w:left w:val="single" w:sz="4" w:color="000000"/>
              <w:right w:val="single" w:sz="4" w:color="000000"/>
              <w:bottom w:val="single" w:sz="4" w:color="000000"/>
            </w:tcBorders>
          </w:tcPr>
          <w:p>
            <w:pPr>
              <w:jc w:val="left"/>
            </w:pPr>
            <w:r>
              <w:rPr>
                <w:rFonts w:ascii="Microsoft Sans Serif" w:hAnsi="Microsoft Sans Serif"/>
                <w:b w:val="0"/>
                <w:i w:val="0"/>
                <w:color w:val="000000"/>
                <w:sz w:val="20"/>
              </w:rPr>
              <w:t>Drafting and finalizing of Inter-company service agreement covering detailed description of service to be provided, components to be included while calculating cost of services, Invoicing period, Receivable cycle, withholding, ownership rights, effective date of agreement, indemnity etc. in compliance with the Transfer Pricing regulations defined under Income tax laws and other applicable Indian laws</w:t>
            </w: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val="0"/>
                <w:i w:val="0"/>
                <w:color w:val="000000"/>
                <w:sz w:val="20"/>
              </w:rPr>
              <w:t>1,500</w:t>
            </w:r>
          </w:p>
        </w:tc>
      </w:tr>
      <w:tr>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Total one-time costs</w:t>
            </w:r>
          </w:p>
        </w:tc>
        <w:tc>
          <w:tcPr>
            <w:tcW w:type="dxa" w:w="1584"/>
            <w:vAlign w:val="center"/>
            <w:tcBorders>
              <w:top w:val="single" w:sz="4" w:color="000000"/>
              <w:left w:val="single" w:sz="4" w:color="000000"/>
              <w:right w:val="single" w:sz="4" w:color="000000"/>
              <w:bottom w:val="single" w:sz="4" w:color="000000"/>
            </w:tcBorders>
          </w:tcPr>
          <w:p>
            <w:pPr>
              <w:jc w:val="center"/>
            </w:pPr>
          </w:p>
        </w:tc>
        <w:tc>
          <w:tcPr>
            <w:tcW w:type="dxa" w:w="4752"/>
            <w:vAlign w:val="top"/>
            <w:tcBorders>
              <w:top w:val="single" w:sz="4" w:color="000000"/>
              <w:left w:val="single" w:sz="4" w:color="000000"/>
              <w:right w:val="single" w:sz="4" w:color="000000"/>
              <w:bottom w:val="single" w:sz="4" w:color="000000"/>
            </w:tcBorders>
          </w:tcPr>
          <w:p>
            <w:pPr>
              <w:jc w:val="left"/>
            </w:pPr>
          </w:p>
        </w:tc>
        <w:tc>
          <w:tcPr>
            <w:tcW w:type="dxa" w:w="2016"/>
            <w:vAlign w:val="center"/>
            <w:tcBorders>
              <w:top w:val="single" w:sz="4" w:color="000000"/>
              <w:left w:val="single" w:sz="4" w:color="000000"/>
              <w:right w:val="single" w:sz="4" w:color="000000"/>
              <w:bottom w:val="single" w:sz="4" w:color="000000"/>
            </w:tcBorders>
          </w:tcPr>
          <w:p>
            <w:pPr>
              <w:jc w:val="center"/>
            </w:pPr>
            <w:r>
              <w:rPr>
                <w:rFonts w:ascii="Microsoft Sans Serif" w:hAnsi="Microsoft Sans Serif"/>
                <w:b/>
                <w:i w:val="0"/>
                <w:color w:val="000000"/>
                <w:sz w:val="20"/>
              </w:rPr>
              <w:t>3,000</w:t>
            </w:r>
          </w:p>
        </w:tc>
      </w:tr>
    </w:tbl>
    <w:p>
      <w:pPr>
        <w:spacing w:before="0" w:after="120"/>
        <w:ind w:left="0" w:firstLine="0"/>
        <w:jc w:val="left"/>
      </w:pPr>
    </w:p>
    <w:p>
      <w:pPr>
        <w:spacing w:before="40" w:after="40"/>
        <w:ind w:left="0" w:firstLine="0"/>
        <w:jc w:val="left"/>
      </w:pPr>
      <w:r>
        <w:rPr>
          <w:rFonts w:ascii="Roboto" w:hAnsi="Roboto"/>
          <w:b w:val="0"/>
          <w:i/>
          <w:color w:val="000000"/>
          <w:sz w:val="16"/>
        </w:rPr>
        <w:t>*Please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120"/>
        <w:ind w:left="0" w:firstLine="0"/>
        <w:jc w:val="left"/>
      </w:pPr>
    </w:p>
    <w:p>
      <w:r>
        <w:rPr>
          <w:rFonts w:ascii="Microsoft Sans Serif" w:hAnsi="Microsoft Sans Serif"/>
          <w:b/>
          <w:color w:val="002060"/>
          <w:sz w:val="20"/>
        </w:rPr>
        <w:t>Note:</w:t>
      </w:r>
    </w:p>
    <w:p>
      <w:pPr>
        <w:spacing w:before="0" w:after="40"/>
        <w:ind w:left="0" w:firstLine="0"/>
        <w:jc w:val="left"/>
      </w:pPr>
    </w:p>
    <w:p>
      <w:pPr>
        <w:spacing w:before="0" w:after="40"/>
        <w:ind w:left="0" w:firstLine="0"/>
        <w:jc w:val="both"/>
      </w:pPr>
      <w:r>
        <w:rPr>
          <w:rFonts w:ascii="Microsoft Sans Serif" w:hAnsi="Microsoft Sans Serif"/>
          <w:b w:val="0"/>
          <w:i w:val="0"/>
          <w:color w:val="000000"/>
          <w:sz w:val="20"/>
        </w:rPr>
        <w:t>• All fees quoted above exclude 18% GST.</w:t>
      </w:r>
    </w:p>
    <w:p>
      <w:pPr>
        <w:spacing w:before="0" w:after="40"/>
        <w:ind w:left="0" w:firstLine="0"/>
        <w:jc w:val="both"/>
      </w:pPr>
      <w:r>
        <w:rPr>
          <w:rFonts w:ascii="Microsoft Sans Serif" w:hAnsi="Microsoft Sans Serif"/>
          <w:b w:val="0"/>
          <w:i w:val="0"/>
          <w:color w:val="000000"/>
          <w:sz w:val="20"/>
        </w:rPr>
        <w:t>• Professional fees exclude all out-of-pocket expenses.</w:t>
      </w:r>
    </w:p>
    <w:p>
      <w:pPr>
        <w:spacing w:before="0" w:after="40"/>
        <w:ind w:left="0" w:firstLine="0"/>
        <w:jc w:val="both"/>
      </w:pPr>
      <w:r>
        <w:rPr>
          <w:rFonts w:ascii="Microsoft Sans Serif" w:hAnsi="Microsoft Sans Serif"/>
          <w:b w:val="0"/>
          <w:i w:val="0"/>
          <w:color w:val="000000"/>
          <w:sz w:val="20"/>
        </w:rPr>
        <w:t>• Advance of 100% of the above selected option.</w:t>
      </w:r>
    </w:p>
    <w:p>
      <w:pPr>
        <w:spacing w:before="0" w:after="40"/>
        <w:ind w:left="0" w:firstLine="0"/>
        <w:jc w:val="left"/>
      </w:pPr>
    </w:p>
    <w:p>
      <w:pPr>
        <w:spacing w:before="40" w:after="40"/>
        <w:ind w:left="0" w:firstLine="0"/>
        <w:jc w:val="left"/>
      </w:pPr>
      <w:r>
        <w:rPr>
          <w:rFonts w:ascii="Roboto" w:hAnsi="Roboto"/>
          <w:b w:val="0"/>
          <w:i/>
          <w:color w:val="000000"/>
          <w:sz w:val="16"/>
        </w:rPr>
        <w:t>* Any other services not specifically quoted above shall be chargeable as under:</w:t>
      </w:r>
    </w:p>
    <w:p>
      <w:pPr>
        <w:spacing w:before="40" w:after="40"/>
        <w:ind w:left="0" w:firstLine="0"/>
        <w:jc w:val="left"/>
      </w:pPr>
      <w:r>
        <w:rPr>
          <w:rFonts w:ascii="Roboto" w:hAnsi="Roboto"/>
          <w:b w:val="0"/>
          <w:i/>
          <w:color w:val="000000"/>
          <w:sz w:val="16"/>
        </w:rPr>
        <w:t>For Partner: USD 300 per Hour</w:t>
      </w:r>
    </w:p>
    <w:p>
      <w:pPr>
        <w:spacing w:before="40" w:after="40"/>
        <w:ind w:left="0" w:firstLine="0"/>
        <w:jc w:val="left"/>
      </w:pPr>
      <w:r>
        <w:rPr>
          <w:rFonts w:ascii="Roboto" w:hAnsi="Roboto"/>
          <w:b w:val="0"/>
          <w:i/>
          <w:color w:val="000000"/>
          <w:sz w:val="16"/>
        </w:rPr>
        <w:t>For Associates: USD 200 per Hour</w:t>
      </w:r>
    </w:p>
    <w:p>
      <w:pPr>
        <w:spacing w:before="0" w:after="80"/>
        <w:ind w:left="0" w:firstLine="0"/>
        <w:jc w:val="left"/>
      </w:pPr>
    </w:p>
    <w:p>
      <w:pPr>
        <w:spacing w:before="40" w:after="40"/>
        <w:ind w:left="0" w:firstLine="0"/>
        <w:jc w:val="left"/>
      </w:pPr>
      <w:r>
        <w:rPr>
          <w:rFonts w:ascii="Roboto" w:hAnsi="Roboto"/>
          <w:b w:val="0"/>
          <w:i/>
          <w:color w:val="000000"/>
          <w:sz w:val="16"/>
        </w:rPr>
        <w:t>^ InCorp's empanelled audit partners can assist with the transfer pricing reporting &amp; audit (applicable for companies having intercompany transactions). The quotes for the same can be provided separately.</w:t>
      </w:r>
    </w:p>
    <w:p>
      <w:r>
        <w:br w:type="page"/>
      </w:r>
    </w:p>
    <w:sectPr w:rsidR="00FC693F" w:rsidRPr="0006063C" w:rsidSect="00034616">
      <w:headerReference w:type="default" r:id="rId9"/>
      <w:footerReference w:type="default" r:id="rId10"/>
      <w:pgSz w:w="12240" w:h="15840"/>
      <w:pgMar w:top="1728" w:right="720" w:bottom="144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C00000"/>
        <w:sz w:val="16"/>
      </w:rPr>
      <w:t>www.incorp.asia</w:t>
    </w:r>
  </w:p>
  <w:p>
    <w:r>
      <w:rPr>
        <w:color w:val="666666"/>
        <w:sz w:val="14"/>
      </w:rPr>
      <w:t>© In.Corp Global Pte Ltd. All Right Reserved.</w:t>
    </w:r>
  </w:p>
  <w:p>
    <w:r>
      <w:rPr>
        <w:color w:val="999999"/>
        <w:sz w:val="14"/>
      </w:rPr>
      <w:t>This document is being furnished to you on a confidential basis and solely for your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