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ASHOK KUMAR LLP</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21.12.2022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Ashok Kumar</w:t>
      </w:r>
    </w:p>
    <w:p>
      <w:pPr>
        <w:spacing w:before="0" w:after="40" w:line="240" w:lineRule="auto"/>
        <w:ind w:left="0"/>
        <w:contextualSpacing w:val="0"/>
      </w:pPr>
      <w:r>
        <w:rPr>
          <w:rFonts w:ascii="Roboto" w:hAnsi="Roboto"/>
          <w:sz w:val="22"/>
          <w:szCs w:val="22"/>
        </w:rPr>
        <w:t xml:space="preserve">Co Founder</w:t>
      </w:r>
    </w:p>
    <w:p>
      <w:pPr>
        <w:spacing w:before="0" w:after="40" w:line="240" w:lineRule="auto"/>
        <w:ind w:left="0"/>
        <w:contextualSpacing w:val="0"/>
      </w:pPr>
      <w:r>
        <w:rPr>
          <w:rFonts w:ascii="Roboto" w:hAnsi="Roboto"/>
          <w:sz w:val="22"/>
          <w:szCs w:val="22"/>
        </w:rPr>
        <w:t xml:space="preserve">Ashok Kumar LLP</w:t>
      </w:r>
    </w:p>
    <w:p>
      <w:pPr>
        <w:spacing w:before="0" w:after="40" w:line="240" w:lineRule="auto"/>
        <w:ind w:left="0"/>
        <w:contextualSpacing w:val="0"/>
      </w:pPr>
      <w:r>
        <w:rPr>
          <w:rFonts w:ascii="Roboto" w:hAnsi="Roboto"/>
          <w:sz w:val="22"/>
          <w:szCs w:val="22"/>
        </w:rPr>
        <w:t xml:space="preserve">GrandRoad, Nakshatra Complex</w:t>
      </w:r>
    </w:p>
    <w:p>
      <w:pPr>
        <w:spacing w:before="0" w:after="40" w:line="240" w:lineRule="auto"/>
        <w:ind w:left="0"/>
        <w:contextualSpacing w:val="0"/>
      </w:pPr>
      <w:r>
        <w:rPr>
          <w:rFonts w:ascii="Roboto" w:hAnsi="Roboto"/>
          <w:sz w:val="22"/>
          <w:szCs w:val="22"/>
        </w:rPr>
        <w:t xml:space="preserve">Mumbai - 5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Ashok,</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0"/>
          <w:szCs w:val="20"/>
        </w:rPr>
        <w:t xml:space="preserve">• Checking the font of Scope of services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