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ASHOK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12.01.2009</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Venkatesh Vadlakonda </w:t>
      </w:r>
    </w:p>
    <w:p>
      <w:pPr>
        <w:spacing w:before="0" w:after="40" w:line="240" w:lineRule="auto"/>
        <w:ind w:left="0"/>
        <w:contextualSpacing w:val="0"/>
      </w:pPr>
      <w:r>
        <w:rPr>
          <w:rFonts w:ascii="Roboto" w:hAnsi="Roboto"/>
          <w:sz w:val="22"/>
          <w:szCs w:val="22"/>
        </w:rPr>
        <w:t xml:space="preserve">Manager</w:t>
      </w:r>
    </w:p>
    <w:p>
      <w:pPr>
        <w:spacing w:before="0" w:after="40" w:line="240" w:lineRule="auto"/>
        <w:ind w:left="0"/>
        <w:contextualSpacing w:val="0"/>
      </w:pPr>
      <w:r>
        <w:rPr>
          <w:rFonts w:ascii="Roboto" w:hAnsi="Roboto"/>
          <w:sz w:val="22"/>
          <w:szCs w:val="22"/>
        </w:rPr>
        <w:t xml:space="preserve">Ashok Private Limited</w:t>
      </w:r>
    </w:p>
    <w:p>
      <w:pPr>
        <w:spacing w:before="0" w:after="40" w:line="240" w:lineRule="auto"/>
        <w:ind w:left="0"/>
        <w:contextualSpacing w:val="0"/>
      </w:pPr>
      <w:r>
        <w:rPr>
          <w:rFonts w:ascii="Roboto" w:hAnsi="Roboto"/>
          <w:sz w:val="22"/>
          <w:szCs w:val="22"/>
        </w:rPr>
        <w:t xml:space="preserve">vinayak sadan 4th floor room no 42</w:t>
      </w:r>
    </w:p>
    <w:p>
      <w:pPr>
        <w:spacing w:before="0" w:after="40" w:line="240" w:lineRule="auto"/>
        <w:ind w:left="0"/>
        <w:contextualSpacing w:val="0"/>
      </w:pPr>
      <w:r>
        <w:rPr>
          <w:rFonts w:ascii="Roboto" w:hAnsi="Roboto"/>
          <w:sz w:val="22"/>
          <w:szCs w:val="22"/>
        </w:rPr>
        <w:t xml:space="preserve">Mumbai 13,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Venkatesh,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0"/>
          <w:szCs w:val="20"/>
        </w:rPr>
        <w:t xml:space="preserve">• Checking the font style of the scope</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1990,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80" w:hanging="280"/>
              <w:contextualSpacing w:val="0"/>
            </w:pPr>
            <w:r>
              <w:rPr>
                <w:rFonts w:ascii="Roboto" w:hAnsi="Roboto"/>
                <w:sz w:val="20"/>
                <w:szCs w:val="20"/>
              </w:rPr>
              <w:t xml:space="preserve">• GST laws/regulations</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Goods and Service Tax Act, 2017</w:t>
            </w:r>
          </w:p>
          <w:p>
            <w:pPr>
              <w:spacing w:before="0" w:after="60" w:line="240" w:lineRule="auto"/>
              <w:ind w:left="280" w:hanging="280"/>
              <w:contextualSpacing w:val="0"/>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280" w:hanging="280"/>
              <w:contextualSpacing w:val="0"/>
            </w:pPr>
            <w:r>
              <w:rPr>
                <w:rFonts w:ascii="Roboto" w:hAnsi="Roboto"/>
                <w:sz w:val="20"/>
                <w:szCs w:val="20"/>
              </w:rPr>
              <w:t xml:space="preserve">• PAN of the company included</w:t>
            </w:r>
          </w:p>
          <w:p>
            <w:pPr>
              <w:spacing w:before="0" w:after="60" w:line="240" w:lineRule="auto"/>
              <w:ind w:left="280" w:hanging="280"/>
              <w:contextualSpacing w:val="0"/>
            </w:pPr>
            <w:r>
              <w:rPr>
                <w:rFonts w:ascii="Roboto" w:hAnsi="Roboto"/>
                <w:sz w:val="20"/>
                <w:szCs w:val="20"/>
              </w:rPr>
              <w:t xml:space="preserve">• TAN of the company included</w:t>
            </w:r>
          </w:p>
          <w:p>
            <w:pPr>
              <w:spacing w:before="0" w:after="60" w:line="240" w:lineRule="auto"/>
              <w:ind w:left="280" w:hanging="280"/>
              <w:contextualSpacing w:val="0"/>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rPr>
              <w:t xml:space="preserve">Registration of single location with GST authorities.</w:t>
            </w:r>
          </w:p>
          <w:p>
            <w:pPr>
              <w:spacing w:before="0" w:after="40" w:line="240" w:lineRule="auto"/>
              <w:ind w:left="0"/>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spacing w:before="0" w:after="60" w:line="240" w:lineRule="auto"/>
              <w:ind w:left="280" w:hanging="280"/>
              <w:contextualSpacing w:val="0"/>
            </w:pPr>
            <w:r>
              <w:rPr>
                <w:rFonts w:ascii="Roboto" w:hAnsi="Roboto"/>
                <w:sz w:val="20"/>
                <w:szCs w:val="20"/>
              </w:rPr>
              <w:t xml:space="preserve">• Drafting of first board meeting documents</w:t>
            </w:r>
          </w:p>
          <w:p>
            <w:pPr>
              <w:spacing w:before="0" w:after="60" w:line="240" w:lineRule="auto"/>
              <w:ind w:left="280" w:hanging="280"/>
              <w:contextualSpacing w:val="0"/>
            </w:pPr>
            <w:r>
              <w:rPr>
                <w:rFonts w:ascii="Roboto" w:hAnsi="Roboto"/>
                <w:sz w:val="20"/>
                <w:szCs w:val="20"/>
              </w:rPr>
              <w:t xml:space="preserve">• Guidance on capital infusion in bank account</w:t>
            </w:r>
          </w:p>
          <w:p>
            <w:pPr>
              <w:spacing w:before="0" w:after="60" w:line="240" w:lineRule="auto"/>
              <w:ind w:left="280" w:hanging="280"/>
              <w:contextualSpacing w:val="0"/>
            </w:pPr>
            <w:r>
              <w:rPr>
                <w:rFonts w:ascii="Roboto" w:hAnsi="Roboto"/>
                <w:sz w:val="20"/>
                <w:szCs w:val="20"/>
              </w:rPr>
              <w:t xml:space="preserve">• File form with Ministry for commencement of business (COC)</w:t>
            </w:r>
          </w:p>
          <w:p>
            <w:pPr>
              <w:spacing w:before="0" w:after="60" w:line="240" w:lineRule="auto"/>
              <w:ind w:left="280" w:hanging="280"/>
              <w:contextualSpacing w:val="0"/>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0" w:line="240" w:lineRule="auto"/>
              <w:ind w:left="0"/>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80" w:hanging="280"/>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80" w:hanging="280"/>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2"/>
                <w:szCs w:val="22"/>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2"/>
                <w:szCs w:val="22"/>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b/>
                      <w:sz w:val="16"/>
                      <w:szCs w:val="16"/>
                    </w:rPr>
                    <w:t xml:space="preserve">No. of transactions per month</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b/>
                      <w:sz w:val="16"/>
                      <w:szCs w:val="16"/>
                    </w:rPr>
                    <w:t xml:space="preserve">Fees per month (in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Upto 20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200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20 - 50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250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50-80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b/>
                      <w:sz w:val="16"/>
                      <w:szCs w:val="16"/>
                    </w:rPr>
                    <w:t xml:space="preserve">No of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b/>
                      <w:sz w:val="16"/>
                      <w:szCs w:val="16"/>
                    </w:rPr>
                    <w:t xml:space="preserve">Amount in USD per month</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Upto 10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125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6"/>
                      <w:szCs w:val="16"/>
                      <w:color w:val="777777"/>
                    </w:rPr>
                    <w:t xml:space="preserve">11 - 20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jc w:val="right"/>
                    <w:contextualSpacing w:val="0"/>
                  </w:pPr>
                  <w:r>
                    <w:rPr>
                      <w:rFonts w:ascii="Roboto" w:hAnsi="Roboto"/>
                      <w:sz w:val="16"/>
                      <w:szCs w:val="16"/>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6"/>
                <w:szCs w:val="26"/>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6"/>
                <w:szCs w:val="26"/>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rPr>
              <w:t xml:space="preserve">2. Assisting in arriving at the arm’s length price or margin range.</w:t>
            </w:r>
          </w:p>
          <w:p>
            <w:pPr>
              <w:spacing w:before="0" w:after="40" w:line="240" w:lineRule="auto"/>
              <w:ind w:left="0"/>
              <w:contextualSpacing w:val="0"/>
            </w:pPr>
            <w:r>
              <w:rPr>
                <w:rFonts w:ascii="Roboto" w:hAnsi="Roboto"/>
                <w:sz w:val="20"/>
                <w:szCs w:val="20"/>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