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CHATLA PRIVATE LIMITED</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r>
        <w:rPr>
          <w:rFonts w:ascii="Roboto" w:hAnsi="Roboto"/>
          <w:sz w:val="22"/>
          <w:szCs w:val="22"/>
        </w:rPr>
        <w:t xml:space="preserve">11.01.2001</w:t>
      </w: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Sharanyu Chatla</w:t>
      </w:r>
    </w:p>
    <w:p>
      <w:pPr>
        <w:spacing w:before="0" w:after="40" w:line="240" w:lineRule="auto"/>
        <w:ind w:left="0"/>
        <w:contextualSpacing w:val="0"/>
      </w:pPr>
      <w:r>
        <w:rPr>
          <w:rFonts w:ascii="Roboto" w:hAnsi="Roboto"/>
          <w:sz w:val="22"/>
          <w:szCs w:val="22"/>
        </w:rPr>
        <w:t xml:space="preserve">Manager</w:t>
      </w:r>
    </w:p>
    <w:p>
      <w:pPr>
        <w:spacing w:before="0" w:after="40" w:line="240" w:lineRule="auto"/>
        <w:ind w:left="0"/>
        <w:contextualSpacing w:val="0"/>
      </w:pPr>
      <w:r>
        <w:rPr>
          <w:rFonts w:ascii="Roboto" w:hAnsi="Roboto"/>
          <w:sz w:val="22"/>
          <w:szCs w:val="22"/>
        </w:rPr>
        <w:t xml:space="preserve">Chatla Private Limited</w:t>
      </w:r>
    </w:p>
    <w:p>
      <w:pPr>
        <w:spacing w:before="0" w:after="40" w:line="240" w:lineRule="auto"/>
        <w:ind w:left="0"/>
        <w:contextualSpacing w:val="0"/>
      </w:pPr>
      <w:r>
        <w:rPr>
          <w:rFonts w:ascii="Roboto" w:hAnsi="Roboto"/>
          <w:sz w:val="22"/>
          <w:szCs w:val="22"/>
        </w:rPr>
        <w:t xml:space="preserve">Laxmi Narayan 3rd Floor, Room no 32, Prabhadevi </w:t>
      </w:r>
    </w:p>
    <w:p>
      <w:pPr>
        <w:spacing w:before="0" w:after="40" w:line="240" w:lineRule="auto"/>
        <w:ind w:left="0"/>
        <w:contextualSpacing w:val="0"/>
      </w:pPr>
      <w:r>
        <w:rPr>
          <w:rFonts w:ascii="Roboto" w:hAnsi="Roboto"/>
          <w:sz w:val="22"/>
          <w:szCs w:val="22"/>
        </w:rPr>
        <w:t xml:space="preserve">Mumbai - 10, Maharashtra</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Sharanyu,</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spacing w:before="0" w:after="60" w:line="240" w:lineRule="auto"/>
        <w:ind w:left="280" w:hanging="280"/>
        <w:contextualSpacing w:val="0"/>
      </w:pPr>
      <w:r>
        <w:rPr>
          <w:rFonts w:ascii="Roboto" w:hAnsi="Roboto"/>
          <w:sz w:val="22"/>
          <w:szCs w:val="22"/>
        </w:rPr>
        <w:t xml:space="preserve">• InCorp’s empanelled audit partners can assist with the transfer pricing reporting &amp; audit. The quotes for the same can be provided separately.</w:t>
      </w:r>
    </w:p>
    <w:p>
      <w:pPr>
        <w:spacing w:before="0" w:after="60" w:line="240" w:lineRule="auto"/>
        <w:ind w:left="280" w:hanging="280"/>
        <w:contextualSpacing w:val="0"/>
      </w:pPr>
      <w:r>
        <w:rPr>
          <w:rFonts w:ascii="Roboto" w:hAnsi="Roboto"/>
          <w:sz w:val="22"/>
          <w:szCs w:val="22"/>
        </w:rPr>
        <w:t xml:space="preserve">• Any other services not specifically quoted above and not specifically agreed separately shall be chargeable as under: For Partner: USD 300 per Hour</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A. One time Handover Service</w:t>
      </w:r>
    </w:p>
    <w:p>
      <w:pPr>
        <w:spacing w:before="0" w:after="40" w:line="240" w:lineRule="auto"/>
        <w:ind w:left="0"/>
        <w:contextualSpacing w:val="0"/>
      </w:pPr>
      <w:r>
        <w:rPr>
          <w:rFonts w:ascii="Roboto" w:hAnsi="Roboto"/>
          <w:sz w:val="22"/>
          <w:szCs w:val="22"/>
        </w:rPr>
        <w:t xml:space="preserve">Since the company has been in existence since 2001, we shall need to undertake a handover of the current financial, secretarial, payroll and other records of the company from current service provider.</w:t>
      </w:r>
    </w:p>
    <w:p>
      <w:pPr>
        <w:spacing w:before="0" w:after="40" w:line="240" w:lineRule="auto"/>
        <w:contextualSpacing w:val="0"/>
      </w:pPr>
    </w:p>
    <w:tbl>
      <w:tblPr>
        <w:tblStyle w:val="TableGrid"/>
        <w:tblW w:w="10656" w:type="dxa"/>
        <w:tblInd w:w="0" w:type="dxa"/>
        <w:tblBorders>
          <w:top w:val="none"/>
          <w:left w:val="none"/>
          <w:bottom w:val="none"/>
          <w:right w:val="none"/>
          <w:insideH w:val="none"/>
          <w:insideV w:val="none"/>
        </w:tblBorders>
      </w:tblPr>
      <w:tblGrid>
        <w:gridCol w:w="6336"/>
        <w:gridCol w:w="2160"/>
        <w:gridCol w:w="2160"/>
      </w:tblGrid>
      <w:tr>
        <w:tc>
          <w:tcPr>
            <w:tcW w:w="6336"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jc w:val="both"/>
              <w:contextualSpacing w:val="0"/>
            </w:pPr>
            <w:r>
              <w:rPr>
                <w:rFonts w:ascii="Roboto" w:hAnsi="Roboto"/>
                <w:sz w:val="22"/>
                <w:szCs w:val="22"/>
                <w:color w:val="C00000"/>
              </w:rPr>
              <w:t xml:space="preserve">Handover from erstwhile service provider of various records under laws as mentioned below. This process does not entail conducting a due diligence.</w:t>
            </w:r>
          </w:p>
          <w:p>
            <w:pPr>
              <w:spacing w:before="0" w:after="60" w:line="240" w:lineRule="auto"/>
              <w:ind w:left="280" w:hanging="280"/>
              <w:contextualSpacing w:val="0"/>
            </w:pPr>
            <w:r>
              <w:rPr>
                <w:rFonts w:ascii="Roboto" w:hAnsi="Roboto"/>
                <w:sz w:val="20"/>
                <w:szCs w:val="20"/>
                <w:color w:val="777777"/>
              </w:rPr>
              <w:t xml:space="preserve">• GST laws/regulations</w:t>
            </w:r>
          </w:p>
          <w:p>
            <w:pPr>
              <w:spacing w:before="0" w:after="60" w:line="240" w:lineRule="auto"/>
              <w:ind w:left="280" w:hanging="280"/>
              <w:contextualSpacing w:val="0"/>
            </w:pPr>
            <w:r>
              <w:rPr>
                <w:rFonts w:ascii="Roboto" w:hAnsi="Roboto"/>
                <w:sz w:val="20"/>
                <w:szCs w:val="20"/>
                <w:color w:val="777777"/>
              </w:rPr>
              <w:t xml:space="preserve">• Income Tax Act, 1961</w:t>
            </w:r>
          </w:p>
          <w:p>
            <w:pPr>
              <w:spacing w:before="0" w:after="60" w:line="240" w:lineRule="auto"/>
              <w:ind w:left="280" w:hanging="280"/>
              <w:contextualSpacing w:val="0"/>
            </w:pPr>
            <w:r>
              <w:rPr>
                <w:rFonts w:ascii="Roboto" w:hAnsi="Roboto"/>
                <w:sz w:val="20"/>
                <w:szCs w:val="20"/>
                <w:color w:val="777777"/>
              </w:rPr>
              <w:t xml:space="preserve">• Company’s Act, 2013</w:t>
            </w:r>
          </w:p>
          <w:p>
            <w:pPr>
              <w:spacing w:before="0" w:after="60" w:line="240" w:lineRule="auto"/>
              <w:ind w:left="280" w:hanging="280"/>
              <w:contextualSpacing w:val="0"/>
            </w:pPr>
            <w:r>
              <w:rPr>
                <w:rFonts w:ascii="Roboto" w:hAnsi="Roboto"/>
                <w:sz w:val="20"/>
                <w:szCs w:val="20"/>
                <w:color w:val="777777"/>
              </w:rPr>
              <w:t xml:space="preserve">• Foreign Exchange Rules &amp; Regulations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r>
        <w:tc>
          <w:tcPr>
            <w:tcW w:w="6336"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Basic due diligence from perspective of*–</w:t>
            </w:r>
          </w:p>
          <w:p>
            <w:pPr>
              <w:spacing w:before="0" w:after="60" w:line="240" w:lineRule="auto"/>
              <w:ind w:left="280" w:hanging="280"/>
              <w:contextualSpacing w:val="0"/>
            </w:pPr>
            <w:r>
              <w:rPr>
                <w:rFonts w:ascii="Roboto" w:hAnsi="Roboto"/>
                <w:sz w:val="20"/>
                <w:szCs w:val="20"/>
                <w:color w:val="777777"/>
              </w:rPr>
              <w:t xml:space="preserve">• Company’s Act, 2013</w:t>
            </w:r>
          </w:p>
          <w:p>
            <w:pPr>
              <w:spacing w:before="0" w:after="60" w:line="240" w:lineRule="auto"/>
              <w:ind w:left="280" w:hanging="280"/>
              <w:contextualSpacing w:val="0"/>
            </w:pPr>
            <w:r>
              <w:rPr>
                <w:rFonts w:ascii="Roboto" w:hAnsi="Roboto"/>
                <w:sz w:val="20"/>
                <w:szCs w:val="20"/>
                <w:color w:val="777777"/>
              </w:rPr>
              <w:t xml:space="preserve">• Income Tax Act, 1961</w:t>
            </w:r>
          </w:p>
          <w:p>
            <w:pPr>
              <w:spacing w:before="0" w:after="60" w:line="240" w:lineRule="auto"/>
              <w:ind w:left="280" w:hanging="280"/>
              <w:contextualSpacing w:val="0"/>
            </w:pPr>
            <w:r>
              <w:rPr>
                <w:rFonts w:ascii="Roboto" w:hAnsi="Roboto"/>
                <w:sz w:val="20"/>
                <w:szCs w:val="20"/>
                <w:color w:val="777777"/>
              </w:rPr>
              <w:t xml:space="preserve">• Goods and Service Tax Act, 2017</w:t>
            </w:r>
          </w:p>
          <w:p>
            <w:pPr>
              <w:spacing w:before="0" w:after="60" w:line="240" w:lineRule="auto"/>
              <w:ind w:left="280" w:hanging="280"/>
              <w:contextualSpacing w:val="0"/>
            </w:pPr>
            <w:r>
              <w:rPr>
                <w:rFonts w:ascii="Roboto" w:hAnsi="Roboto"/>
                <w:sz w:val="20"/>
                <w:szCs w:val="20"/>
                <w:color w:val="777777"/>
              </w:rPr>
              <w:t xml:space="preserve">• Foreign Exchange Management Act, 1999</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year</w:t>
            </w:r>
          </w:p>
        </w:tc>
      </w:tr>
    </w:tbl>
    <w:p>
      <w:pPr>
        <w:spacing w:before="0" w:after="0" w:line="240" w:lineRule="auto"/>
        <w:contextualSpacing w:val="0"/>
      </w:pPr>
    </w:p>
    <w:p>
      <w:pPr>
        <w:spacing w:before="0" w:after="40" w:line="240" w:lineRule="auto"/>
        <w:ind w:left="0"/>
        <w:jc w:val="both"/>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any fees towards regularisation of past non compliances.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B. Incorporation / Secretarial Service and Mandatory Registrations post Incorporation</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One-time Fee</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Incorporation</w:t>
            </w:r>
          </w:p>
          <w:p>
            <w:pPr>
              <w:spacing w:before="0" w:after="60" w:line="240" w:lineRule="auto"/>
              <w:ind w:left="280" w:hanging="280"/>
              <w:contextualSpacing w:val="0"/>
            </w:pPr>
            <w:r>
              <w:rPr>
                <w:rFonts w:ascii="Roboto" w:hAnsi="Roboto"/>
                <w:sz w:val="20"/>
                <w:szCs w:val="20"/>
                <w:color w:val="777777"/>
              </w:rPr>
              <w:t xml:space="preserve">• PAN of the company included</w:t>
            </w:r>
          </w:p>
          <w:p>
            <w:pPr>
              <w:spacing w:before="0" w:after="60" w:line="240" w:lineRule="auto"/>
              <w:ind w:left="280" w:hanging="280"/>
              <w:contextualSpacing w:val="0"/>
            </w:pPr>
            <w:r>
              <w:rPr>
                <w:rFonts w:ascii="Roboto" w:hAnsi="Roboto"/>
                <w:sz w:val="20"/>
                <w:szCs w:val="20"/>
                <w:color w:val="777777"/>
              </w:rPr>
              <w:t xml:space="preserve">• TAN of the company included</w:t>
            </w:r>
          </w:p>
          <w:p>
            <w:pPr>
              <w:spacing w:before="0" w:after="60" w:line="240" w:lineRule="auto"/>
              <w:ind w:left="280" w:hanging="280"/>
              <w:contextualSpacing w:val="0"/>
            </w:pPr>
            <w:r>
              <w:rPr>
                <w:rFonts w:ascii="Roboto" w:hAnsi="Roboto"/>
                <w:sz w:val="20"/>
                <w:szCs w:val="20"/>
                <w:color w:val="777777"/>
              </w:rPr>
              <w:t xml:space="preserve">• Employees’ Provident Fund and Miscellaneous Provision Act, Employees’ State Insurance Corporation Act included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Goods &amp; Service Tax (GST)</w:t>
            </w:r>
          </w:p>
          <w:p>
            <w:pPr>
              <w:spacing w:before="0" w:after="40" w:line="240" w:lineRule="auto"/>
              <w:ind w:left="0"/>
              <w:contextualSpacing w:val="0"/>
            </w:pPr>
            <w:r>
              <w:rPr>
                <w:rFonts w:ascii="Roboto" w:hAnsi="Roboto"/>
                <w:sz w:val="20"/>
                <w:szCs w:val="20"/>
                <w:color w:val="777777"/>
              </w:rPr>
              <w:t xml:space="preserve">Registration of single location with GST authorities.</w:t>
            </w:r>
          </w:p>
          <w:p>
            <w:pPr>
              <w:spacing w:before="0" w:after="40" w:line="240" w:lineRule="auto"/>
              <w:ind w:left="0"/>
              <w:contextualSpacing w:val="0"/>
            </w:pPr>
            <w:r>
              <w:rPr>
                <w:rFonts w:ascii="Roboto" w:hAnsi="Roboto"/>
                <w:i/>
                <w:sz w:val="20"/>
                <w:szCs w:val="20"/>
                <w:color w:val="777777"/>
              </w:rPr>
              <w:t xml:space="preserve">Registration of every additional location with the GST authorities shall cost USD 100</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FCGPR Filing with Reserve Bank of India</w:t>
            </w:r>
          </w:p>
          <w:p>
            <w:pPr>
              <w:spacing w:before="0" w:after="40" w:line="240" w:lineRule="auto"/>
              <w:ind w:left="0"/>
              <w:contextualSpacing w:val="0"/>
            </w:pPr>
            <w:r>
              <w:rPr>
                <w:rFonts w:ascii="Roboto" w:hAnsi="Roboto"/>
                <w:sz w:val="20"/>
                <w:szCs w:val="20"/>
                <w:color w:val="777777"/>
              </w:rPr>
              <w:t xml:space="preserve">Filing of Forms and declaration with RBI as required under FEMA</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1,250 per applicant</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Statutory Compliances with Registrar of Companies under Companies Act:</w:t>
            </w:r>
          </w:p>
          <w:p>
            <w:pPr>
              <w:spacing w:before="0" w:after="60" w:line="240" w:lineRule="auto"/>
              <w:ind w:left="280" w:hanging="280"/>
              <w:contextualSpacing w:val="0"/>
            </w:pPr>
            <w:r>
              <w:rPr>
                <w:rFonts w:ascii="Roboto" w:hAnsi="Roboto"/>
                <w:sz w:val="20"/>
                <w:szCs w:val="20"/>
                <w:color w:val="777777"/>
              </w:rPr>
              <w:t xml:space="preserve">• Drafting of first board meeting documents</w:t>
            </w:r>
          </w:p>
          <w:p>
            <w:pPr>
              <w:spacing w:before="0" w:after="60" w:line="240" w:lineRule="auto"/>
              <w:ind w:left="280" w:hanging="280"/>
              <w:contextualSpacing w:val="0"/>
            </w:pPr>
            <w:r>
              <w:rPr>
                <w:rFonts w:ascii="Roboto" w:hAnsi="Roboto"/>
                <w:sz w:val="20"/>
                <w:szCs w:val="20"/>
                <w:color w:val="777777"/>
              </w:rPr>
              <w:t xml:space="preserve">• Guidance on capital infusion in bank account</w:t>
            </w:r>
          </w:p>
          <w:p>
            <w:pPr>
              <w:spacing w:before="0" w:after="60" w:line="240" w:lineRule="auto"/>
              <w:ind w:left="280" w:hanging="280"/>
              <w:contextualSpacing w:val="0"/>
            </w:pPr>
            <w:r>
              <w:rPr>
                <w:rFonts w:ascii="Roboto" w:hAnsi="Roboto"/>
                <w:sz w:val="20"/>
                <w:szCs w:val="20"/>
                <w:color w:val="777777"/>
              </w:rPr>
              <w:t xml:space="preserve">• File form with Ministry for commencement of business (COC)</w:t>
            </w:r>
          </w:p>
          <w:p>
            <w:pPr>
              <w:spacing w:before="0" w:after="60" w:line="240" w:lineRule="auto"/>
              <w:ind w:left="280" w:hanging="280"/>
              <w:contextualSpacing w:val="0"/>
            </w:pPr>
            <w:r>
              <w:rPr>
                <w:rFonts w:ascii="Roboto" w:hAnsi="Roboto"/>
                <w:sz w:val="20"/>
                <w:szCs w:val="20"/>
                <w:color w:val="777777"/>
              </w:rPr>
              <w:t xml:space="preserve">• Preparation of statutory shareholders register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w:t>
            </w:r>
          </w:p>
        </w:tc>
      </w:tr>
    </w:tbl>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40" w:line="240" w:lineRule="auto"/>
        <w:ind w:left="280" w:hanging="280"/>
        <w:contextualSpacing w:val="0"/>
      </w:pPr>
      <w:r>
        <w:rPr>
          <w:rFonts w:ascii="Roboto" w:hAnsi="Roboto"/>
          <w:sz w:val="20"/>
          <w:szCs w:val="20"/>
        </w:rPr>
        <w:t xml:space="preserve">• On finalization of shareholding structure, we shall be able to guide on compliances needed for issuance of share certificates and shall share a separate fee quote for the same.</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Optional registrations required post incorporation (One-time)</w:t>
      </w:r>
    </w:p>
    <w:p>
      <w:pPr>
        <w:spacing w:before="0" w:after="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Import Export Code (IEC Code)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Profession Tax (PT)</w:t>
            </w:r>
          </w:p>
          <w:p>
            <w:pPr>
              <w:spacing w:before="0" w:after="40" w:line="240" w:lineRule="auto"/>
              <w:ind w:left="200" w:hanging="200"/>
              <w:contextualSpacing w:val="0"/>
            </w:pPr>
            <w:r>
              <w:rPr>
                <w:rFonts w:ascii="Roboto" w:hAnsi="Roboto"/>
                <w:sz w:val="20"/>
                <w:szCs w:val="20"/>
                <w:color w:val="777777"/>
              </w:rPr>
              <w:t xml:space="preserve">• Payments and return filing for company, its employees until the company's certificate of commencement is obtained</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Submission of for Significant Beneficial Ownership via form BEN-2</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Filing of requisite forms with ROC (Form MGT 4, MGT 5, MGT 6)</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Physical PAN Card of the company</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Trademark Registration (exclusive of disbursement fees)</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PAN for foreign director</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director</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2"/>
                <w:szCs w:val="22"/>
                <w:color w:val="C00000"/>
              </w:rPr>
              <w:t xml:space="preserve">Assistance in opening of bank account</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250</w:t>
            </w:r>
          </w:p>
        </w:tc>
      </w:tr>
    </w:tbl>
    <w:p>
      <w:pPr>
        <w:spacing w:before="0" w:after="0" w:line="240" w:lineRule="auto"/>
        <w:contextualSpacing w:val="0"/>
      </w:pPr>
    </w:p>
    <w:p>
      <w:pPr>
        <w:spacing w:before="20" w:after="20" w:line="240" w:lineRule="auto"/>
        <w:ind w:left="0"/>
        <w:contextualSpacing w:val="0"/>
      </w:pPr>
      <w:r>
        <w:rPr>
          <w:rFonts w:ascii="Roboto" w:hAnsi="Roboto"/>
          <w:i/>
          <w:sz w:val="20"/>
          <w:szCs w:val="20"/>
        </w:rPr>
        <w:t xml:space="preserve">*For every new director’s professional tax no., there shall be additional cost of $100 per director</w:t>
      </w:r>
    </w:p>
    <w:p>
      <w:pPr>
        <w:spacing w:before="20" w:after="20" w:line="240" w:lineRule="auto"/>
        <w:ind w:left="0"/>
        <w:contextualSpacing w:val="0"/>
      </w:pPr>
      <w:r>
        <w:rPr>
          <w:rFonts w:ascii="Roboto" w:hAnsi="Roboto"/>
          <w:i/>
          <w:sz w:val="20"/>
          <w:szCs w:val="20"/>
        </w:rPr>
        <w:t xml:space="preserve">*Digital signature certificate (DSC) token can be obtained at a cost of USD 200 per applicant.</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60" w:line="240" w:lineRule="auto"/>
        <w:contextualSpacing w:val="0"/>
      </w:pPr>
    </w:p>
    <w:p>
      <w:pPr>
        <w:spacing w:before="200" w:after="120" w:line="240" w:lineRule="auto"/>
        <w:ind w:left="80"/>
        <w:contextualSpacing w:val="0"/>
      </w:pPr>
      <w:r>
        <w:rPr>
          <w:rFonts w:ascii="Roboto" w:hAnsi="Roboto"/>
          <w:b/>
          <w:sz w:val="24"/>
          <w:szCs w:val="24"/>
          <w:color w:val="C00000"/>
        </w:rPr>
        <w:t xml:space="preserve">Nominee Director and Registered Office Address Service</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8208"/>
        <w:gridCol w:w="2160"/>
      </w:tblGrid>
      <w:tr>
        <w:tc>
          <w:tcPr>
            <w:tcW w:w="82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2160"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Monthly Fee (in USD)</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Registered Office Service</w:t>
            </w:r>
          </w:p>
          <w:p>
            <w:pPr>
              <w:spacing w:before="0" w:after="0" w:line="240" w:lineRule="auto"/>
              <w:ind w:left="0"/>
              <w:contextualSpacing w:val="0"/>
            </w:pPr>
            <w:r>
              <w:rPr>
                <w:rFonts w:ascii="Roboto" w:hAnsi="Roboto"/>
                <w:sz w:val="20"/>
                <w:szCs w:val="20"/>
              </w:rPr>
              <w:t xml:space="preserve">A refundable Security deposit @USD 2500 applies**. Refundable upon cessation of Registered office service.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w:t>
            </w:r>
          </w:p>
        </w:tc>
      </w:tr>
      <w:tr>
        <w:tc>
          <w:tcPr>
            <w:tcW w:w="82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Nominee Director Service</w:t>
            </w:r>
          </w:p>
          <w:p>
            <w:pPr>
              <w:spacing w:before="0" w:after="40" w:line="240" w:lineRule="auto"/>
              <w:ind w:left="0"/>
              <w:jc w:val="both"/>
              <w:contextualSpacing w:val="0"/>
            </w:pPr>
            <w:r>
              <w:rPr>
                <w:rFonts w:ascii="Roboto" w:hAnsi="Roboto"/>
                <w:sz w:val="20"/>
                <w:szCs w:val="20"/>
                <w:color w:val="777777"/>
              </w:rPr>
              <w:t xml:space="preserve">A refundable Security deposit per nominee @USD 5000 applies*. Refundable upon cessation of Nominee Director Service</w:t>
            </w:r>
          </w:p>
          <w:p>
            <w:pPr>
              <w:spacing w:before="0" w:after="40" w:line="240" w:lineRule="auto"/>
              <w:ind w:left="0"/>
              <w:jc w:val="both"/>
              <w:contextualSpacing w:val="0"/>
            </w:pPr>
            <w:r>
              <w:rPr>
                <w:rFonts w:ascii="Roboto" w:hAnsi="Roboto"/>
                <w:sz w:val="20"/>
                <w:szCs w:val="20"/>
                <w:color w:val="777777"/>
              </w:rPr>
              <w:t xml:space="preserve">Director’s fee for attending a physical or recorded or live board meeting @USD300 per director per board meeting</w:t>
            </w:r>
          </w:p>
          <w:p>
            <w:pPr>
              <w:spacing w:before="0" w:after="40" w:line="240" w:lineRule="auto"/>
              <w:ind w:left="0"/>
              <w:jc w:val="both"/>
              <w:contextualSpacing w:val="0"/>
            </w:pPr>
            <w:r>
              <w:rPr>
                <w:rFonts w:ascii="Roboto" w:hAnsi="Roboto"/>
                <w:sz w:val="20"/>
                <w:szCs w:val="20"/>
                <w:color w:val="777777"/>
              </w:rPr>
              <w:t xml:space="preserve">Every nominee director needs to be protected under a director’s indemnity policy. Premium of indemnity bond to be charged on actual basis.</w:t>
            </w:r>
          </w:p>
          <w:p>
            <w:pPr>
              <w:spacing w:before="0" w:after="40" w:line="240" w:lineRule="auto"/>
              <w:ind w:left="0"/>
              <w:jc w:val="both"/>
              <w:contextualSpacing w:val="0"/>
            </w:pPr>
            <w:r>
              <w:rPr>
                <w:rFonts w:ascii="Roboto" w:hAnsi="Roboto"/>
                <w:sz w:val="20"/>
                <w:szCs w:val="20"/>
                <w:color w:val="777777"/>
              </w:rPr>
              <w:t xml:space="preserve">To ensure the removal of a nominee director from registrations ***with various authorities where required, InCorp must be notified at least three months in advance.</w:t>
            </w:r>
          </w:p>
        </w:tc>
        <w:tc>
          <w:tcPr>
            <w:tcW w:w="2160"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w:t>
            </w:r>
          </w:p>
        </w:tc>
      </w:tr>
    </w:tbl>
    <w:p>
      <w:pPr>
        <w:spacing w:before="0" w:after="0" w:line="240" w:lineRule="auto"/>
        <w:contextualSpacing w:val="0"/>
      </w:pPr>
    </w:p>
    <w:p>
      <w:pPr>
        <w:spacing w:before="0" w:after="40" w:line="240" w:lineRule="auto"/>
        <w:ind w:left="0"/>
        <w:contextualSpacing w:val="0"/>
      </w:pPr>
      <w:r>
        <w:rPr>
          <w:rFonts w:ascii="Roboto" w:hAnsi="Roboto"/>
          <w:b/>
          <w:i/>
          <w:sz w:val="20"/>
          <w:szCs w:val="20"/>
        </w:rPr>
        <w:t xml:space="preserve">*Failure to engage InCorp's services for regular compliances of the company post the setup such as tax, secretarial, FEMA etc. shall result in forfeiture of the security deposit received against nominee director and registered office services.</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**Any fees for rectification (or) completion of pending past compliances shall attract additional fees and we shall seek your approval prior to commencement of that work.</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The Nominee Director shall not sign any return, forms or documents relating to any statutory filing nor will be appointed as the authorized signatory to any of the bank accounts of the entity or under GST, Income Tax any other government portal. The Company may consider appointing one of its key managerial personnel as the authorised signatory across all government portals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The Nominee Director will not be involved in day-to-day affairs / management of the Company. He/She shall not sign any return, forms or documents relating to any statutory filing.</w:t>
      </w:r>
    </w:p>
    <w:p>
      <w:pPr>
        <w:spacing w:before="0" w:after="40" w:line="240" w:lineRule="auto"/>
        <w:ind w:left="280" w:hanging="280"/>
        <w:contextualSpacing w:val="0"/>
      </w:pPr>
      <w:r>
        <w:rPr>
          <w:rFonts w:ascii="Roboto" w:hAnsi="Roboto"/>
          <w:sz w:val="20"/>
          <w:szCs w:val="20"/>
        </w:rPr>
        <w:t xml:space="preserve">• The service of Registered office &amp; Nominee director is offered on discretionary basis only for temporary basis of 6 months. Such services are provided only in case of successful completion of Internal Customer Due diligence at InCorp and formal engagement of Incorp for all the compliances (tax, secretarial, FEMA etc.) post incorporation of the company for the regular maintenance of the company.</w:t>
      </w:r>
    </w:p>
    <w:p>
      <w:pPr>
        <w:spacing w:before="0" w:after="40" w:line="240" w:lineRule="auto"/>
        <w:ind w:left="280" w:hanging="280"/>
        <w:contextualSpacing w:val="0"/>
      </w:pPr>
      <w:r>
        <w:rPr>
          <w:rFonts w:ascii="Roboto" w:hAnsi="Roboto"/>
          <w:sz w:val="20"/>
          <w:szCs w:val="20"/>
        </w:rPr>
        <w:t xml:space="preserve">• Failure to engage InCorp's services for regular compliances of the company post the setup such as tax, secretarial, FEMA etc. shall result in forfeiture of the security deposit received against registered office and nominee director services.</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apostilling &amp; notary cost to any authorities/departments, statutory fees payable to Registrar of companies (ROC) towards incorporation etc. other than those mentioned above.</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40" w:line="240" w:lineRule="auto"/>
        <w:contextualSpacing w:val="0"/>
      </w:pPr>
    </w:p>
    <w:p>
      <w:pPr>
        <w:spacing w:before="200" w:after="120" w:line="240" w:lineRule="auto"/>
        <w:ind w:left="80"/>
        <w:contextualSpacing w:val="0"/>
      </w:pPr>
      <w:r>
        <w:rPr>
          <w:rFonts w:ascii="Roboto" w:hAnsi="Roboto"/>
          <w:b/>
          <w:sz w:val="24"/>
          <w:szCs w:val="24"/>
          <w:color w:val="C00000"/>
        </w:rPr>
        <w:t xml:space="preserve">C.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200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2) TDS compliances:</w:t>
            </w:r>
          </w:p>
          <w:p>
            <w:pPr>
              <w:spacing w:before="0" w:after="20" w:line="240" w:lineRule="auto"/>
              <w:ind w:left="200" w:hanging="200"/>
              <w:contextualSpacing w:val="0"/>
            </w:pPr>
            <w:r>
              <w:rPr>
                <w:rFonts w:ascii="Roboto" w:hAnsi="Roboto"/>
                <w:sz w:val="20"/>
                <w:szCs w:val="20"/>
                <w:color w:val="777777"/>
              </w:rPr>
              <w:t xml:space="preserve">• Calculation and Payment of TDS</w:t>
            </w:r>
          </w:p>
          <w:p>
            <w:pPr>
              <w:spacing w:before="0" w:after="20" w:line="240" w:lineRule="auto"/>
              <w:ind w:left="200" w:hanging="200"/>
              <w:contextualSpacing w:val="0"/>
            </w:pPr>
            <w:r>
              <w:rPr>
                <w:rFonts w:ascii="Roboto" w:hAnsi="Roboto"/>
                <w:sz w:val="20"/>
                <w:szCs w:val="20"/>
                <w:color w:val="777777"/>
              </w:rPr>
              <w:t xml:space="preserve">• Filing of TDS Returns</w:t>
            </w:r>
          </w:p>
          <w:p>
            <w:pPr>
              <w:spacing w:before="0" w:after="20" w:line="240" w:lineRule="auto"/>
              <w:ind w:left="0"/>
              <w:contextualSpacing w:val="0"/>
            </w:pPr>
            <w:r>
              <w:rPr>
                <w:rFonts w:ascii="Roboto" w:hAnsi="Roboto"/>
                <w:sz w:val="20"/>
                <w:szCs w:val="20"/>
                <w:color w:val="777777"/>
              </w:rPr>
              <w:t xml:space="preserve">(The above excludes cost of revisions of TDS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Indirect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 and 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GST Compliances:</w:t>
            </w:r>
          </w:p>
          <w:p>
            <w:pPr>
              <w:spacing w:before="0" w:after="20" w:line="240" w:lineRule="auto"/>
              <w:ind w:left="200" w:hanging="200"/>
              <w:contextualSpacing w:val="0"/>
            </w:pPr>
            <w:r>
              <w:rPr>
                <w:rFonts w:ascii="Roboto" w:hAnsi="Roboto"/>
                <w:sz w:val="20"/>
                <w:szCs w:val="20"/>
                <w:color w:val="777777"/>
              </w:rPr>
              <w:t xml:space="preserve">• Calculations and payment of GST</w:t>
            </w:r>
          </w:p>
          <w:p>
            <w:pPr>
              <w:spacing w:before="0" w:after="20" w:line="240" w:lineRule="auto"/>
              <w:ind w:left="200" w:hanging="200"/>
              <w:contextualSpacing w:val="0"/>
            </w:pPr>
            <w:r>
              <w:rPr>
                <w:rFonts w:ascii="Roboto" w:hAnsi="Roboto"/>
                <w:sz w:val="20"/>
                <w:szCs w:val="20"/>
                <w:color w:val="777777"/>
              </w:rPr>
              <w:t xml:space="preserve">• Filing of monthly GST Returns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2"/>
                <w:szCs w:val="22"/>
                <w:color w:val="C00000"/>
              </w:rPr>
              <w:t xml:space="preserve">Company Law</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Company Law Compliances (Scope as per Annexure 1)</w:t>
            </w:r>
          </w:p>
          <w:p>
            <w:pPr>
              <w:spacing w:before="0" w:after="20" w:line="240" w:lineRule="auto"/>
              <w:ind w:left="0"/>
              <w:contextualSpacing w:val="0"/>
            </w:pPr>
            <w:r>
              <w:rPr>
                <w:rFonts w:ascii="Roboto" w:hAnsi="Roboto"/>
                <w:sz w:val="20"/>
                <w:szCs w:val="20"/>
                <w:color w:val="777777"/>
              </w:rPr>
              <w:t xml:space="preserve">Assistance on conduction of virtual board meeting – USD 150 per board meeting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450 per annum</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Filings with Reserve bank of India</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450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Master Filing Form 3CEAA Part A (Basic Reporting)</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350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300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Setup of accounting software</w:t>
            </w:r>
          </w:p>
          <w:p>
            <w:pPr>
              <w:spacing w:before="0" w:after="20" w:line="240" w:lineRule="auto"/>
              <w:ind w:left="200" w:hanging="200"/>
              <w:contextualSpacing w:val="0"/>
            </w:pPr>
            <w:r>
              <w:rPr>
                <w:rFonts w:ascii="Roboto" w:hAnsi="Roboto"/>
                <w:sz w:val="20"/>
                <w:szCs w:val="20"/>
                <w:color w:val="777777"/>
              </w:rPr>
              <w:t xml:space="preserve">• Liaison with the software expert for the setup</w:t>
            </w:r>
          </w:p>
          <w:p>
            <w:pPr>
              <w:spacing w:before="0" w:after="20" w:line="240" w:lineRule="auto"/>
              <w:ind w:left="200" w:hanging="200"/>
              <w:contextualSpacing w:val="0"/>
            </w:pPr>
            <w:r>
              <w:rPr>
                <w:rFonts w:ascii="Roboto" w:hAnsi="Roboto"/>
                <w:sz w:val="20"/>
                <w:szCs w:val="20"/>
                <w:color w:val="777777"/>
              </w:rPr>
              <w:t xml:space="preserve">• Ensure due configuration of the software with applicable laws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300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 Preparation of the financial Statements as per the Indian accounting Standards</w:t>
            </w:r>
          </w:p>
          <w:p>
            <w:pPr>
              <w:spacing w:before="0" w:after="20" w:line="240" w:lineRule="auto"/>
              <w:ind w:left="200" w:hanging="200"/>
              <w:contextualSpacing w:val="0"/>
            </w:pPr>
            <w:r>
              <w:rPr>
                <w:rFonts w:ascii="Roboto" w:hAnsi="Roboto"/>
                <w:sz w:val="20"/>
                <w:szCs w:val="20"/>
                <w:color w:val="777777"/>
              </w:rPr>
              <w:t xml:space="preserve">• Liaising with auditors for audit, compliance and related matters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0"/>
                <w:szCs w:val="20"/>
                <w:color w:val="777777"/>
              </w:rPr>
              <w:t xml:space="preserve">500 one time</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Payroll Setup (Scope as per Annexure 2)</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 time</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Shop &amp; Establishment and POSH Compliance:</w:t>
            </w:r>
          </w:p>
          <w:p>
            <w:pPr>
              <w:spacing w:before="0" w:after="20" w:line="240" w:lineRule="auto"/>
              <w:ind w:left="0"/>
              <w:contextualSpacing w:val="0"/>
            </w:pPr>
            <w:r>
              <w:rPr>
                <w:rFonts w:ascii="Roboto" w:hAnsi="Roboto"/>
                <w:sz w:val="20"/>
                <w:szCs w:val="20"/>
                <w:color w:val="777777"/>
              </w:rPr>
              <w:t xml:space="preserve">1. Obtaining Shop and establishment registration under Karnataka Shop and establishment act</w:t>
            </w:r>
          </w:p>
          <w:p>
            <w:pPr>
              <w:spacing w:before="0" w:after="20" w:line="240" w:lineRule="auto"/>
              <w:ind w:left="0"/>
              <w:contextualSpacing w:val="0"/>
            </w:pPr>
            <w:r>
              <w:rPr>
                <w:rFonts w:ascii="Roboto" w:hAnsi="Roboto"/>
                <w:sz w:val="20"/>
                <w:szCs w:val="20"/>
                <w:color w:val="777777"/>
              </w:rPr>
              <w:t xml:space="preserve">2. Drafting of POSH (Prevention of Sexual Harassment at Workplace) policy</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one time</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Labour Law Compliances:</w:t>
            </w:r>
          </w:p>
          <w:p>
            <w:pPr>
              <w:spacing w:before="0" w:after="20" w:line="240" w:lineRule="auto"/>
              <w:ind w:left="200" w:hanging="200"/>
              <w:contextualSpacing w:val="0"/>
            </w:pPr>
            <w:r>
              <w:rPr>
                <w:rFonts w:ascii="Roboto" w:hAnsi="Roboto"/>
                <w:sz w:val="20"/>
                <w:szCs w:val="20"/>
                <w:color w:val="777777"/>
              </w:rPr>
              <w:t xml:space="preserve">• Provident Fund</w:t>
            </w:r>
          </w:p>
          <w:p>
            <w:pPr>
              <w:spacing w:before="0" w:after="20" w:line="240" w:lineRule="auto"/>
              <w:ind w:left="200" w:hanging="200"/>
              <w:contextualSpacing w:val="0"/>
            </w:pPr>
            <w:r>
              <w:rPr>
                <w:rFonts w:ascii="Roboto" w:hAnsi="Roboto"/>
                <w:sz w:val="20"/>
                <w:szCs w:val="20"/>
                <w:color w:val="777777"/>
              </w:rPr>
              <w:t xml:space="preserve">• Employees State Insurance Corporation</w:t>
            </w:r>
          </w:p>
          <w:p>
            <w:pPr>
              <w:spacing w:before="0" w:after="20" w:line="240" w:lineRule="auto"/>
              <w:ind w:left="200" w:hanging="200"/>
              <w:contextualSpacing w:val="0"/>
            </w:pPr>
            <w:r>
              <w:rPr>
                <w:rFonts w:ascii="Roboto" w:hAnsi="Roboto"/>
                <w:sz w:val="20"/>
                <w:szCs w:val="20"/>
                <w:color w:val="777777"/>
              </w:rPr>
              <w:t xml:space="preserve">• Profession Tax</w:t>
            </w:r>
          </w:p>
          <w:p>
            <w:pPr>
              <w:spacing w:before="0" w:after="20" w:line="240" w:lineRule="auto"/>
              <w:ind w:left="200" w:hanging="200"/>
              <w:contextualSpacing w:val="0"/>
            </w:pPr>
            <w:r>
              <w:rPr>
                <w:rFonts w:ascii="Roboto" w:hAnsi="Roboto"/>
                <w:sz w:val="20"/>
                <w:szCs w:val="20"/>
                <w:color w:val="777777"/>
              </w:rPr>
              <w:t xml:space="preserve">• Labor Welfare Fund</w:t>
            </w:r>
          </w:p>
          <w:p>
            <w:pPr>
              <w:spacing w:before="0" w:after="20" w:line="240" w:lineRule="auto"/>
              <w:ind w:left="0"/>
              <w:contextualSpacing w:val="0"/>
            </w:pPr>
            <w:r>
              <w:rPr>
                <w:rFonts w:ascii="Roboto" w:hAnsi="Roboto"/>
                <w:sz w:val="20"/>
                <w:szCs w:val="20"/>
                <w:color w:val="777777"/>
              </w:rPr>
              <w:t xml:space="preserve">(for employees upto 20 – fixed fee)</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b/>
                <w:sz w:val="20"/>
                <w:szCs w:val="20"/>
                <w:color w:val="777777"/>
              </w:rPr>
              <w:t xml:space="preserve">Annual Return under:</w:t>
            </w:r>
          </w:p>
          <w:p>
            <w:pPr>
              <w:spacing w:before="0" w:after="20" w:line="240" w:lineRule="auto"/>
              <w:ind w:left="200" w:hanging="200"/>
              <w:contextualSpacing w:val="0"/>
            </w:pPr>
            <w:r>
              <w:rPr>
                <w:rFonts w:ascii="Roboto" w:hAnsi="Roboto"/>
                <w:sz w:val="20"/>
                <w:szCs w:val="20"/>
                <w:color w:val="777777"/>
              </w:rPr>
              <w:t xml:space="preserve">• Sexual Harassment of Women at Workplace Act, 2013</w:t>
            </w:r>
          </w:p>
          <w:p>
            <w:pPr>
              <w:spacing w:before="0" w:after="20" w:line="240" w:lineRule="auto"/>
              <w:ind w:left="200" w:hanging="200"/>
              <w:contextualSpacing w:val="0"/>
            </w:pPr>
            <w:r>
              <w:rPr>
                <w:rFonts w:ascii="Roboto" w:hAnsi="Roboto"/>
                <w:sz w:val="20"/>
                <w:szCs w:val="20"/>
                <w:color w:val="777777"/>
              </w:rPr>
              <w:t xml:space="preserve">• Shop and Establishment Act</w:t>
            </w:r>
          </w:p>
          <w:p>
            <w:pPr>
              <w:spacing w:before="0" w:after="20" w:line="240" w:lineRule="auto"/>
              <w:ind w:left="200" w:hanging="200"/>
              <w:contextualSpacing w:val="0"/>
            </w:pPr>
            <w:r>
              <w:rPr>
                <w:rFonts w:ascii="Roboto" w:hAnsi="Roboto"/>
                <w:sz w:val="20"/>
                <w:szCs w:val="20"/>
                <w:color w:val="777777"/>
              </w:rPr>
              <w:t xml:space="preserve">• Maternity Act</w:t>
            </w:r>
          </w:p>
          <w:p>
            <w:pPr>
              <w:spacing w:before="0" w:after="20" w:line="240" w:lineRule="auto"/>
              <w:ind w:left="200" w:hanging="200"/>
              <w:contextualSpacing w:val="0"/>
            </w:pPr>
            <w:r>
              <w:rPr>
                <w:rFonts w:ascii="Roboto" w:hAnsi="Roboto"/>
                <w:sz w:val="20"/>
                <w:szCs w:val="20"/>
                <w:color w:val="777777"/>
              </w:rPr>
              <w:t xml:space="preserve">• Gratuity Act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annum</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Accounting and maintenance of books of accounts:</w:t>
            </w:r>
          </w:p>
          <w:p>
            <w:pPr>
              <w:spacing w:before="0" w:after="40" w:line="240" w:lineRule="auto"/>
              <w:ind w:left="200" w:hanging="200"/>
              <w:contextualSpacing w:val="0"/>
            </w:pPr>
            <w:r>
              <w:rPr>
                <w:rFonts w:ascii="Roboto" w:hAnsi="Roboto"/>
                <w:sz w:val="20"/>
                <w:szCs w:val="20"/>
                <w:color w:val="777777"/>
              </w:rPr>
              <w:t xml:space="preserve">• Data entry in accounting software</w:t>
            </w:r>
          </w:p>
          <w:p>
            <w:pPr>
              <w:spacing w:before="0" w:after="40" w:line="240" w:lineRule="auto"/>
              <w:ind w:left="200" w:hanging="200"/>
              <w:contextualSpacing w:val="0"/>
            </w:pPr>
            <w:r>
              <w:rPr>
                <w:rFonts w:ascii="Roboto" w:hAnsi="Roboto"/>
                <w:sz w:val="20"/>
                <w:szCs w:val="20"/>
                <w:color w:val="777777"/>
              </w:rPr>
              <w:t xml:space="preserve">• Weekly processing of Bank Reconciliation</w:t>
            </w:r>
          </w:p>
          <w:p>
            <w:pPr>
              <w:spacing w:before="0" w:after="40" w:line="240" w:lineRule="auto"/>
              <w:ind w:left="200" w:hanging="200"/>
              <w:contextualSpacing w:val="0"/>
            </w:pPr>
            <w:r>
              <w:rPr>
                <w:rFonts w:ascii="Roboto" w:hAnsi="Roboto"/>
                <w:sz w:val="20"/>
                <w:szCs w:val="20"/>
                <w:color w:val="777777"/>
              </w:rPr>
              <w:t xml:space="preserve">• Weekly processing of Purchase invoices</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transactions per month</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Fees per month (in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20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20 - 50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250</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50-80</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300</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per month</w:t>
            </w:r>
          </w:p>
        </w:tc>
      </w:tr>
      <w:tr>
        <w:tc>
          <w:tcPr>
            <w:tcW w:w="1872" w:type="dxa"/>
            <w:tcBorders>
              <w:top w:val="single" w:sz="4" w:color="AAAAAA"/>
              <w:left w:val="single" w:sz="4" w:color="AAAAAA"/>
              <w:right w:val="single" w:sz="4" w:color="AAAAAA"/>
              <w:bottom w:val="single" w:sz="4" w:color="AAAAAA"/>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Monthly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sz w:val="20"/>
                <w:szCs w:val="20"/>
                <w:color w:val="777777"/>
              </w:rPr>
              <w:t xml:space="preserve">Payroll Processing** (Scope as per Annexure 3)</w:t>
            </w:r>
          </w:p>
          <w:p>
            <w:pPr>
              <w:spacing w:before="0" w:after="40" w:line="240" w:lineRule="auto"/>
              <w:contextualSpacing w:val="0"/>
            </w:pPr>
          </w:p>
          <w:tbl>
            <w:tblPr>
              <w:tblW w:w="5000" w:type="pct"/>
              <w:jc w:val="center"/>
              <w:tblBorders>
                <w:top w:val="single" w:sz="2" w:color="AAAAAA"/>
                <w:left w:val="single" w:sz="2" w:color="AAAAAA"/>
                <w:bottom w:val="single" w:sz="2" w:color="AAAAAA"/>
                <w:right w:val="single" w:sz="2" w:color="AAAAAA"/>
                <w:insideH w:val="single" w:sz="2" w:color="AAAAAA"/>
                <w:insideV w:val="single" w:sz="2" w:color="AAAAAA"/>
              </w:tblBorders>
              <w:tblLook w:val="0000"/>
            </w:tblPr>
            <w:tblGrid>
              <w:gridCol w:w="3035"/>
              <w:gridCol w:w="1964"/>
            </w:tblGrid>
            <w:tr>
              <w:tc>
                <w:tcPr>
                  <w:tcW w:w="3035"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No of employees</w:t>
                  </w:r>
                </w:p>
              </w:tc>
              <w:tc>
                <w:tcPr>
                  <w:tcW w:w="1964" w:type="pct"/>
                  <w:tcBorders>
                    <w:top w:val="single" w:sz="2" w:color="AAAAAA"/>
                    <w:left w:val="single" w:sz="2" w:color="AAAAAA"/>
                    <w:bottom w:val="single" w:sz="2" w:color="AAAAAA"/>
                    <w:right w:val="single" w:sz="2" w:color="AAAAAA"/>
                  </w:tcBorders>
                  <w:shd w:val="clear" w:color="auto" w:fill="EEEEEE"/>
                  <w:vAlign w:val="center"/>
                  <w:tcMar>
                    <w:top w:w="60" w:type="dxa"/>
                    <w:bottom w:w="60" w:type="dxa"/>
                    <w:left w:w="100" w:type="dxa"/>
                    <w:right w:w="80" w:type="dxa"/>
                  </w:tcMar>
                </w:tcPr>
                <w:p>
                  <w:pPr>
                    <w:spacing w:before="0" w:after="20" w:line="240" w:lineRule="auto"/>
                    <w:ind w:left="0"/>
                    <w:contextualSpacing w:val="0"/>
                  </w:pPr>
                  <w:r>
                    <w:rPr>
                      <w:rFonts w:ascii="Roboto" w:hAnsi="Roboto"/>
                      <w:b/>
                      <w:sz w:val="18"/>
                      <w:szCs w:val="18"/>
                      <w:color w:val="555555"/>
                    </w:rPr>
                    <w:t xml:space="preserve">Amount in USD per month</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Upto 10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125 USD</w:t>
                  </w:r>
                </w:p>
              </w:tc>
            </w:tr>
            <w:tr>
              <w:tc>
                <w:tcPr>
                  <w:tcW w:w="3035"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11 - 20 employees</w:t>
                  </w:r>
                </w:p>
              </w:tc>
              <w:tc>
                <w:tcPr>
                  <w:tcW w:w="1964" w:type="pct"/>
                  <w:tcBorders>
                    <w:top w:val="single" w:sz="2" w:color="AAAAAA"/>
                    <w:left w:val="single" w:sz="2" w:color="AAAAAA"/>
                    <w:bottom w:val="single" w:sz="2" w:color="AAAAAA"/>
                    <w:right w:val="single" w:sz="2" w:color="AAAAAA"/>
                  </w:tcBorders>
                  <w:vAlign w:val="center"/>
                  <w:tcMar>
                    <w:top w:w="60" w:type="dxa"/>
                    <w:bottom w:w="60" w:type="dxa"/>
                    <w:left w:w="100" w:type="dxa"/>
                    <w:right w:w="80" w:type="dxa"/>
                  </w:tcMar>
                </w:tcPr>
                <w:p>
                  <w:pPr>
                    <w:spacing w:before="0" w:after="20" w:line="240" w:lineRule="auto"/>
                    <w:ind w:left="0"/>
                    <w:contextualSpacing w:val="0"/>
                  </w:pPr>
                  <w:r>
                    <w:rPr>
                      <w:rFonts w:ascii="Roboto" w:hAnsi="Roboto"/>
                      <w:sz w:val="18"/>
                      <w:szCs w:val="18"/>
                      <w:color w:val="777777"/>
                    </w:rPr>
                    <w:t xml:space="preserve">200 USD</w:t>
                  </w:r>
                </w:p>
              </w:tc>
            </w:tr>
          </w:tbl>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125 per month</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16,300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 like filing fees, courier expenses, government/statutory fees etc.</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80"/>
        <w:contextualSpacing w:val="0"/>
      </w:pPr>
      <w:r>
        <w:rPr>
          <w:rFonts w:ascii="Roboto" w:hAnsi="Roboto"/>
          <w:b/>
          <w:sz w:val="24"/>
          <w:szCs w:val="24"/>
          <w:color w:val="C00000"/>
        </w:rPr>
        <w:t xml:space="preserve">D.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Benchmarking</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1. Assistance in conducting Functional, Asset and Risk Analysis of the proposed transaction.</w:t>
            </w:r>
          </w:p>
          <w:p>
            <w:pPr>
              <w:spacing w:before="0" w:after="40" w:line="240" w:lineRule="auto"/>
              <w:ind w:left="0"/>
              <w:contextualSpacing w:val="0"/>
            </w:pPr>
            <w:r>
              <w:rPr>
                <w:rFonts w:ascii="Roboto" w:hAnsi="Roboto"/>
                <w:sz w:val="20"/>
                <w:szCs w:val="20"/>
                <w:color w:val="777777"/>
              </w:rPr>
              <w:t xml:space="preserve">2. Assisting in arriving at the arm’s length price or margin range.</w:t>
            </w:r>
          </w:p>
          <w:p>
            <w:pPr>
              <w:spacing w:before="0" w:after="40" w:line="240" w:lineRule="auto"/>
              <w:ind w:left="0"/>
              <w:contextualSpacing w:val="0"/>
            </w:pPr>
            <w:r>
              <w:rPr>
                <w:rFonts w:ascii="Roboto" w:hAnsi="Roboto"/>
                <w:sz w:val="20"/>
                <w:szCs w:val="20"/>
                <w:color w:val="777777"/>
              </w:rPr>
              <w:t xml:space="preserve">3. Preparation of final benchmarking report*.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 per business activity</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3,000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spacing w:before="0" w:after="40" w:line="240" w:lineRule="auto"/>
        <w:ind w:left="280" w:hanging="280"/>
        <w:contextualSpacing w:val="0"/>
      </w:pPr>
      <w:r>
        <w:rPr>
          <w:rFonts w:ascii="Roboto" w:hAnsi="Roboto"/>
          <w:sz w:val="20"/>
          <w:szCs w:val="20"/>
        </w:rPr>
        <w:t xml:space="preserve">• All fees quoted above exclude 18% GST.</w:t>
      </w:r>
    </w:p>
    <w:p>
      <w:pPr>
        <w:spacing w:before="0" w:after="40" w:line="240" w:lineRule="auto"/>
        <w:ind w:left="280" w:hanging="280"/>
        <w:contextualSpacing w:val="0"/>
      </w:pPr>
      <w:r>
        <w:rPr>
          <w:rFonts w:ascii="Roboto" w:hAnsi="Roboto"/>
          <w:sz w:val="20"/>
          <w:szCs w:val="20"/>
        </w:rPr>
        <w:t xml:space="preserve">• Professional fees exclude all out-of-pocket expenses.</w:t>
      </w:r>
    </w:p>
    <w:p>
      <w:pPr>
        <w:spacing w:before="0" w:after="40" w:line="240" w:lineRule="auto"/>
        <w:ind w:left="280" w:hanging="280"/>
        <w:contextualSpacing w:val="0"/>
      </w:pPr>
      <w:r>
        <w:rPr>
          <w:rFonts w:ascii="Roboto" w:hAnsi="Roboto"/>
          <w:sz w:val="20"/>
          <w:szCs w:val="20"/>
        </w:rPr>
        <w:t xml:space="preserve">• 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