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TEST</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r>
        <w:rPr>
          <w:rFonts w:ascii="Roboto" w:hAnsi="Roboto"/>
          <w:sz w:val="22"/>
          <w:szCs w:val="22"/>
        </w:rPr>
        <w:t xml:space="preserve">11.01.2000</w:t>
      </w: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TEst</w:t>
      </w:r>
    </w:p>
    <w:p>
      <w:pPr>
        <w:spacing w:before="0" w:after="40" w:line="240" w:lineRule="auto"/>
        <w:ind w:left="0"/>
        <w:contextualSpacing w:val="0"/>
      </w:pPr>
      <w:r>
        <w:rPr>
          <w:rFonts w:ascii="Roboto" w:hAnsi="Roboto"/>
          <w:sz w:val="22"/>
          <w:szCs w:val="22"/>
        </w:rPr>
        <w:t xml:space="preserve">TEST</w:t>
      </w:r>
    </w:p>
    <w:p>
      <w:pPr>
        <w:spacing w:before="0" w:after="40" w:line="240" w:lineRule="auto"/>
        <w:ind w:left="0"/>
        <w:contextualSpacing w:val="0"/>
      </w:pPr>
      <w:r>
        <w:rPr>
          <w:rFonts w:ascii="Roboto" w:hAnsi="Roboto"/>
          <w:sz w:val="22"/>
          <w:szCs w:val="22"/>
        </w:rPr>
        <w:t xml:space="preserve">TEST</w:t>
      </w:r>
    </w:p>
    <w:p>
      <w:pPr>
        <w:spacing w:before="0" w:after="40" w:line="240" w:lineRule="auto"/>
        <w:ind w:left="0"/>
        <w:contextualSpacing w:val="0"/>
      </w:pPr>
      <w:r>
        <w:rPr>
          <w:rFonts w:ascii="Roboto" w:hAnsi="Roboto"/>
          <w:sz w:val="22"/>
          <w:szCs w:val="22"/>
        </w:rPr>
        <w:t xml:space="preserve">vinayak sadan</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TEst,</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A. Accounting / Tax / Payroll / Annual Compliance Services</w:t>
      </w:r>
    </w:p>
    <w:p>
      <w:pPr>
        <w:spacing w:before="0" w:after="40" w:line="240" w:lineRule="auto"/>
        <w:contextualSpacing w:val="0"/>
      </w:pPr>
    </w:p>
    <w:p>
      <w:pPr>
        <w:spacing w:before="0" w:after="40" w:line="240" w:lineRule="auto"/>
        <w:ind w:left="0"/>
        <w:contextualSpacing w:val="0"/>
      </w:pPr>
      <w:r>
        <w:rPr>
          <w:rFonts w:ascii="Roboto" w:hAnsi="Roboto"/>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6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1) Advance tax Compliances</w:t>
            </w:r>
          </w:p>
          <w:p>
            <w:pPr>
              <w:spacing w:before="0" w:after="20" w:line="240" w:lineRule="auto"/>
              <w:ind w:left="200" w:hanging="200"/>
              <w:contextualSpacing w:val="0"/>
            </w:pPr>
            <w:r>
              <w:rPr>
                <w:rFonts w:ascii="Roboto" w:hAnsi="Roboto"/>
                <w:sz w:val="20"/>
                <w:szCs w:val="20"/>
                <w:color w:val="777777"/>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2) TDS compliances:</w:t>
            </w:r>
          </w:p>
          <w:p>
            <w:pPr>
              <w:spacing w:before="0" w:after="20" w:line="240" w:lineRule="auto"/>
              <w:ind w:left="200" w:hanging="200"/>
              <w:contextualSpacing w:val="0"/>
            </w:pPr>
            <w:r>
              <w:rPr>
                <w:rFonts w:ascii="Roboto" w:hAnsi="Roboto"/>
                <w:sz w:val="20"/>
                <w:szCs w:val="20"/>
                <w:color w:val="777777"/>
              </w:rPr>
              <w:t xml:space="preserve">• Calculation and Payment of TDS</w:t>
            </w:r>
          </w:p>
          <w:p>
            <w:pPr>
              <w:spacing w:before="0" w:after="20" w:line="240" w:lineRule="auto"/>
              <w:ind w:left="200" w:hanging="200"/>
              <w:contextualSpacing w:val="0"/>
            </w:pPr>
            <w:r>
              <w:rPr>
                <w:rFonts w:ascii="Roboto" w:hAnsi="Roboto"/>
                <w:sz w:val="20"/>
                <w:szCs w:val="20"/>
                <w:color w:val="777777"/>
              </w:rPr>
              <w:t xml:space="preserve">• Filing of TDS Returns</w:t>
            </w:r>
          </w:p>
          <w:p>
            <w:pPr>
              <w:spacing w:before="0" w:after="20" w:line="240" w:lineRule="auto"/>
              <w:ind w:left="0"/>
              <w:contextualSpacing w:val="0"/>
            </w:pPr>
            <w:r>
              <w:rPr>
                <w:rFonts w:ascii="Roboto" w:hAnsi="Roboto"/>
                <w:sz w:val="20"/>
                <w:szCs w:val="20"/>
                <w:color w:val="777777"/>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3) Annual Income tax return</w:t>
            </w:r>
          </w:p>
          <w:p>
            <w:pPr>
              <w:spacing w:before="0" w:after="20" w:line="240" w:lineRule="auto"/>
              <w:ind w:left="0"/>
              <w:contextualSpacing w:val="0"/>
            </w:pPr>
            <w:r>
              <w:rPr>
                <w:rFonts w:ascii="Roboto" w:hAnsi="Roboto"/>
                <w:sz w:val="20"/>
                <w:szCs w:val="20"/>
                <w:color w:val="777777"/>
              </w:rPr>
              <w:t xml:space="preserve">Computation and filing of Annual Income tax Return</w:t>
            </w:r>
          </w:p>
          <w:p>
            <w:pPr>
              <w:spacing w:before="0" w:after="40" w:line="240" w:lineRule="auto"/>
              <w:ind w:left="0"/>
              <w:contextualSpacing w:val="0"/>
            </w:pPr>
            <w:r>
              <w:rPr>
                <w:rFonts w:ascii="Roboto" w:hAnsi="Roboto"/>
                <w:b/>
                <w:u w:val="single"/>
                <w:sz w:val="20"/>
                <w:szCs w:val="20"/>
              </w:rPr>
              <w:t xml:space="preserve">4) Statement of Financial Transactions (SFT) – Basic Reporting</w:t>
            </w:r>
          </w:p>
          <w:p>
            <w:pPr>
              <w:spacing w:before="0" w:after="20" w:line="240" w:lineRule="auto"/>
              <w:ind w:left="0"/>
              <w:contextualSpacing w:val="0"/>
            </w:pPr>
            <w:r>
              <w:rPr>
                <w:rFonts w:ascii="Roboto" w:hAnsi="Roboto"/>
                <w:sz w:val="20"/>
                <w:szCs w:val="20"/>
                <w:color w:val="777777"/>
              </w:rPr>
              <w:t xml:space="preserve">Filing of SFT for reporting of specified financial transactions </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Indirect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 and 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1) GST Compliances:</w:t>
            </w:r>
          </w:p>
          <w:p>
            <w:pPr>
              <w:spacing w:before="0" w:after="20" w:line="240" w:lineRule="auto"/>
              <w:ind w:left="200" w:hanging="200"/>
              <w:contextualSpacing w:val="0"/>
            </w:pPr>
            <w:r>
              <w:rPr>
                <w:rFonts w:ascii="Roboto" w:hAnsi="Roboto"/>
                <w:sz w:val="20"/>
                <w:szCs w:val="20"/>
                <w:color w:val="777777"/>
              </w:rPr>
              <w:t xml:space="preserve">• Calculations and payment of GST</w:t>
            </w:r>
          </w:p>
          <w:p>
            <w:pPr>
              <w:spacing w:before="0" w:after="20" w:line="240" w:lineRule="auto"/>
              <w:ind w:left="200" w:hanging="200"/>
              <w:contextualSpacing w:val="0"/>
            </w:pPr>
            <w:r>
              <w:rPr>
                <w:rFonts w:ascii="Roboto" w:hAnsi="Roboto"/>
                <w:sz w:val="20"/>
                <w:szCs w:val="20"/>
                <w:color w:val="777777"/>
              </w:rPr>
              <w:t xml:space="preserve">• Filing of monthly GST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Company Law Compliances (Scope as per Annexure 1)</w:t>
            </w:r>
          </w:p>
          <w:p>
            <w:pPr>
              <w:spacing w:before="0" w:after="20" w:line="240" w:lineRule="auto"/>
              <w:ind w:left="0"/>
              <w:contextualSpacing w:val="0"/>
            </w:pPr>
            <w:r>
              <w:rPr>
                <w:rFonts w:ascii="Roboto" w:hAnsi="Roboto"/>
                <w:sz w:val="20"/>
                <w:szCs w:val="20"/>
                <w:color w:val="777777"/>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Foreign Exchange laws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Annual Filings with Reserve bank of India</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450 per annum</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Annual Master Filing Form 3CEAA Part A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Accounting</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Setup of accounting software</w:t>
            </w:r>
          </w:p>
          <w:p>
            <w:pPr>
              <w:spacing w:before="0" w:after="20" w:line="240" w:lineRule="auto"/>
              <w:ind w:left="200" w:hanging="200"/>
              <w:contextualSpacing w:val="0"/>
            </w:pPr>
            <w:r>
              <w:rPr>
                <w:rFonts w:ascii="Roboto" w:hAnsi="Roboto"/>
                <w:sz w:val="20"/>
                <w:szCs w:val="20"/>
                <w:color w:val="777777"/>
              </w:rPr>
              <w:t xml:space="preserve">• Liaison with the software expert for the setup</w:t>
            </w:r>
          </w:p>
          <w:p>
            <w:pPr>
              <w:spacing w:before="0" w:after="20" w:line="240" w:lineRule="auto"/>
              <w:ind w:left="200" w:hanging="200"/>
              <w:contextualSpacing w:val="0"/>
            </w:pPr>
            <w:r>
              <w:rPr>
                <w:rFonts w:ascii="Roboto" w:hAnsi="Roboto"/>
                <w:sz w:val="20"/>
                <w:szCs w:val="20"/>
                <w:color w:val="777777"/>
              </w:rPr>
              <w:t xml:space="preserve">• Ensure due configuration of the software with applicable laws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 Preparation of the financial Statements as per the Indian accounting Standards</w:t>
            </w:r>
          </w:p>
          <w:p>
            <w:pPr>
              <w:spacing w:before="0" w:after="20" w:line="240" w:lineRule="auto"/>
              <w:ind w:left="200" w:hanging="200"/>
              <w:contextualSpacing w:val="0"/>
            </w:pPr>
            <w:r>
              <w:rPr>
                <w:rFonts w:ascii="Roboto" w:hAnsi="Roboto"/>
                <w:sz w:val="20"/>
                <w:szCs w:val="20"/>
                <w:color w:val="777777"/>
              </w:rPr>
              <w:t xml:space="preserve">• Liaising with auditors for audit, compliance and related matters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Payroll</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Payroll Setup (Scope as per Annexure 2)</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Shop &amp; Establishment and POSH Compliance:</w:t>
            </w:r>
          </w:p>
          <w:p>
            <w:pPr>
              <w:spacing w:before="0" w:after="20" w:line="240" w:lineRule="auto"/>
              <w:ind w:left="0"/>
              <w:contextualSpacing w:val="0"/>
            </w:pPr>
            <w:r>
              <w:rPr>
                <w:rFonts w:ascii="Roboto" w:hAnsi="Roboto"/>
                <w:sz w:val="20"/>
                <w:szCs w:val="20"/>
                <w:color w:val="777777"/>
              </w:rPr>
              <w:t xml:space="preserve">1. Obtaining Shop and establishment registration under Karnataka Shop and establishment act</w:t>
            </w:r>
          </w:p>
          <w:p>
            <w:pPr>
              <w:spacing w:before="0" w:after="20" w:line="240" w:lineRule="auto"/>
              <w:ind w:left="0"/>
              <w:contextualSpacing w:val="0"/>
            </w:pPr>
            <w:r>
              <w:rPr>
                <w:rFonts w:ascii="Roboto" w:hAnsi="Roboto"/>
                <w:sz w:val="20"/>
                <w:szCs w:val="20"/>
                <w:color w:val="777777"/>
              </w:rPr>
              <w:t xml:space="preserve">2. Drafting of POSH (Prevention of Sexual Harassment at Workplace) policy</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Labour Law Compliances:</w:t>
            </w:r>
          </w:p>
          <w:p>
            <w:pPr>
              <w:spacing w:before="0" w:after="20" w:line="240" w:lineRule="auto"/>
              <w:ind w:left="200" w:hanging="200"/>
              <w:contextualSpacing w:val="0"/>
            </w:pPr>
            <w:r>
              <w:rPr>
                <w:rFonts w:ascii="Roboto" w:hAnsi="Roboto"/>
                <w:sz w:val="20"/>
                <w:szCs w:val="20"/>
                <w:color w:val="777777"/>
              </w:rPr>
              <w:t xml:space="preserve">• Provident Fund</w:t>
            </w:r>
          </w:p>
          <w:p>
            <w:pPr>
              <w:spacing w:before="0" w:after="20" w:line="240" w:lineRule="auto"/>
              <w:ind w:left="200" w:hanging="200"/>
              <w:contextualSpacing w:val="0"/>
            </w:pPr>
            <w:r>
              <w:rPr>
                <w:rFonts w:ascii="Roboto" w:hAnsi="Roboto"/>
                <w:sz w:val="20"/>
                <w:szCs w:val="20"/>
                <w:color w:val="777777"/>
              </w:rPr>
              <w:t xml:space="preserve">• Employees State Insurance Corporation</w:t>
            </w:r>
          </w:p>
          <w:p>
            <w:pPr>
              <w:spacing w:before="0" w:after="20" w:line="240" w:lineRule="auto"/>
              <w:ind w:left="200" w:hanging="200"/>
              <w:contextualSpacing w:val="0"/>
            </w:pPr>
            <w:r>
              <w:rPr>
                <w:rFonts w:ascii="Roboto" w:hAnsi="Roboto"/>
                <w:sz w:val="20"/>
                <w:szCs w:val="20"/>
                <w:color w:val="777777"/>
              </w:rPr>
              <w:t xml:space="preserve">• Profession Tax</w:t>
            </w:r>
          </w:p>
          <w:p>
            <w:pPr>
              <w:spacing w:before="0" w:after="20" w:line="240" w:lineRule="auto"/>
              <w:ind w:left="200" w:hanging="200"/>
              <w:contextualSpacing w:val="0"/>
            </w:pPr>
            <w:r>
              <w:rPr>
                <w:rFonts w:ascii="Roboto" w:hAnsi="Roboto"/>
                <w:sz w:val="20"/>
                <w:szCs w:val="20"/>
                <w:color w:val="777777"/>
              </w:rPr>
              <w:t xml:space="preserve">• Labor Welfare Fund</w:t>
            </w:r>
          </w:p>
          <w:p>
            <w:pPr>
              <w:spacing w:before="0" w:after="20" w:line="240" w:lineRule="auto"/>
              <w:ind w:left="0"/>
              <w:contextualSpacing w:val="0"/>
            </w:pPr>
            <w:r>
              <w:rPr>
                <w:rFonts w:ascii="Roboto" w:hAnsi="Roboto"/>
                <w:sz w:val="20"/>
                <w:szCs w:val="20"/>
                <w:color w:val="777777"/>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Annual Return under:</w:t>
            </w:r>
          </w:p>
          <w:p>
            <w:pPr>
              <w:spacing w:before="0" w:after="20" w:line="240" w:lineRule="auto"/>
              <w:ind w:left="200" w:hanging="200"/>
              <w:contextualSpacing w:val="0"/>
            </w:pPr>
            <w:r>
              <w:rPr>
                <w:rFonts w:ascii="Roboto" w:hAnsi="Roboto"/>
                <w:sz w:val="20"/>
                <w:szCs w:val="20"/>
                <w:color w:val="777777"/>
              </w:rPr>
              <w:t xml:space="preserve">• Sexual Harassment of Women at Workplace Act, 2013</w:t>
            </w:r>
          </w:p>
          <w:p>
            <w:pPr>
              <w:spacing w:before="0" w:after="20" w:line="240" w:lineRule="auto"/>
              <w:ind w:left="200" w:hanging="200"/>
              <w:contextualSpacing w:val="0"/>
            </w:pPr>
            <w:r>
              <w:rPr>
                <w:rFonts w:ascii="Roboto" w:hAnsi="Roboto"/>
                <w:sz w:val="20"/>
                <w:szCs w:val="20"/>
                <w:color w:val="777777"/>
              </w:rPr>
              <w:t xml:space="preserve">• Shop and Establishment Act</w:t>
            </w:r>
          </w:p>
          <w:p>
            <w:pPr>
              <w:spacing w:before="0" w:after="20" w:line="240" w:lineRule="auto"/>
              <w:ind w:left="200" w:hanging="200"/>
              <w:contextualSpacing w:val="0"/>
            </w:pPr>
            <w:r>
              <w:rPr>
                <w:rFonts w:ascii="Roboto" w:hAnsi="Roboto"/>
                <w:sz w:val="20"/>
                <w:szCs w:val="20"/>
                <w:color w:val="777777"/>
              </w:rPr>
              <w:t xml:space="preserve">• Maternity Act</w:t>
            </w:r>
          </w:p>
          <w:p>
            <w:pPr>
              <w:spacing w:before="0" w:after="20" w:line="240" w:lineRule="auto"/>
              <w:ind w:left="200" w:hanging="200"/>
              <w:contextualSpacing w:val="0"/>
            </w:pPr>
            <w:r>
              <w:rPr>
                <w:rFonts w:ascii="Roboto" w:hAnsi="Roboto"/>
                <w:sz w:val="20"/>
                <w:szCs w:val="20"/>
                <w:color w:val="777777"/>
              </w:rPr>
              <w:t xml:space="preserve">• Gratuity Act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annum</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Accounting and maintenance of books of accounts:</w:t>
            </w:r>
          </w:p>
          <w:p>
            <w:pPr>
              <w:spacing w:before="0" w:after="40" w:line="240" w:lineRule="auto"/>
              <w:ind w:left="200" w:hanging="200"/>
              <w:contextualSpacing w:val="0"/>
            </w:pPr>
            <w:r>
              <w:rPr>
                <w:rFonts w:ascii="Roboto" w:hAnsi="Roboto"/>
                <w:sz w:val="20"/>
                <w:szCs w:val="20"/>
                <w:color w:val="777777"/>
              </w:rPr>
              <w:t xml:space="preserve">• Data entry in accounting software</w:t>
            </w:r>
          </w:p>
          <w:p>
            <w:pPr>
              <w:spacing w:before="0" w:after="40" w:line="240" w:lineRule="auto"/>
              <w:ind w:left="200" w:hanging="200"/>
              <w:contextualSpacing w:val="0"/>
            </w:pPr>
            <w:r>
              <w:rPr>
                <w:rFonts w:ascii="Roboto" w:hAnsi="Roboto"/>
                <w:sz w:val="20"/>
                <w:szCs w:val="20"/>
                <w:color w:val="777777"/>
              </w:rPr>
              <w:t xml:space="preserve">• Weekly processing of Bank Reconciliation</w:t>
            </w:r>
          </w:p>
          <w:p>
            <w:pPr>
              <w:spacing w:before="0" w:after="40" w:line="240" w:lineRule="auto"/>
              <w:ind w:left="200" w:hanging="200"/>
              <w:contextualSpacing w:val="0"/>
            </w:pPr>
            <w:r>
              <w:rPr>
                <w:rFonts w:ascii="Roboto" w:hAnsi="Roboto"/>
                <w:sz w:val="20"/>
                <w:szCs w:val="20"/>
                <w:color w:val="777777"/>
              </w:rPr>
              <w:t xml:space="preserve">• Weekly processing of Purchase invoices</w:t>
            </w:r>
          </w:p>
          <w:p>
            <w:pPr>
              <w:spacing w:before="0" w:after="40" w:line="240" w:lineRule="auto"/>
              <w:contextualSpacing w:val="0"/>
            </w:pPr>
          </w:p>
          <w:tbl>
            <w:tblPr>
              <w:tblW w:w="4032" w:type="dxa"/>
              <w:tblBorders>
                <w:top w:val="single" w:sz="2" w:color="AAAAAA"/>
                <w:left w:val="single" w:sz="2" w:color="AAAAAA"/>
                <w:bottom w:val="single" w:sz="2" w:color="AAAAAA"/>
                <w:right w:val="single" w:sz="2" w:color="AAAAAA"/>
                <w:insideH w:val="single" w:sz="2" w:color="AAAAAA"/>
                <w:insideV w:val="single" w:sz="2" w:color="AAAAAA"/>
              </w:tblBorders>
              <w:tblLook w:val="0000"/>
            </w:tblPr>
            <w:tblGrid>
              <w:gridCol w:w="2448"/>
              <w:gridCol w:w="1584"/>
            </w:tblGrid>
            <w:tr>
              <w:tc>
                <w:tcPr>
                  <w:tcW w:w="2448"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444444"/>
                    </w:rPr>
                    <w:t xml:space="preserve">No. of transactions per month</w:t>
                  </w:r>
                </w:p>
              </w:tc>
              <w:tc>
                <w:tcPr>
                  <w:tcW w:w="1584"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444444"/>
                    </w:rPr>
                    <w:t xml:space="preserve">Fees per month (in USD)</w:t>
                  </w:r>
                </w:p>
              </w:tc>
            </w:tr>
            <w:tr>
              <w:tc>
                <w:tcPr>
                  <w:tcW w:w="2448"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444444"/>
                    </w:rPr>
                    <w:t xml:space="preserve">Upto 20</w:t>
                  </w:r>
                </w:p>
              </w:tc>
              <w:tc>
                <w:tcPr>
                  <w:tcW w:w="1584"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444444"/>
                    </w:rPr>
                    <w:t xml:space="preserve">200</w:t>
                  </w:r>
                </w:p>
              </w:tc>
            </w:tr>
            <w:tr>
              <w:tc>
                <w:tcPr>
                  <w:tcW w:w="2448"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444444"/>
                    </w:rPr>
                    <w:t xml:space="preserve">20 - 50</w:t>
                  </w:r>
                </w:p>
              </w:tc>
              <w:tc>
                <w:tcPr>
                  <w:tcW w:w="1584"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444444"/>
                    </w:rPr>
                    <w:t xml:space="preserve">250</w:t>
                  </w:r>
                </w:p>
              </w:tc>
            </w:tr>
            <w:tr>
              <w:tc>
                <w:tcPr>
                  <w:tcW w:w="2448"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444444"/>
                    </w:rPr>
                    <w:t xml:space="preserve">50-80</w:t>
                  </w:r>
                </w:p>
              </w:tc>
              <w:tc>
                <w:tcPr>
                  <w:tcW w:w="1584"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444444"/>
                    </w:rPr>
                    <w:t xml:space="preserve">300</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sz w:val="20"/>
                <w:szCs w:val="20"/>
              </w:rPr>
              <w:t xml:space="preserve">Payroll Processing** (Scope as per Annexure 3)</w:t>
            </w:r>
          </w:p>
          <w:p>
            <w:pPr>
              <w:spacing w:before="0" w:after="40" w:line="240" w:lineRule="auto"/>
              <w:contextualSpacing w:val="0"/>
            </w:pPr>
          </w:p>
          <w:tbl>
            <w:tblPr>
              <w:tblW w:w="4032" w:type="dxa"/>
              <w:tblBorders>
                <w:top w:val="single" w:sz="2" w:color="AAAAAA"/>
                <w:left w:val="single" w:sz="2" w:color="AAAAAA"/>
                <w:bottom w:val="single" w:sz="2" w:color="AAAAAA"/>
                <w:right w:val="single" w:sz="2" w:color="AAAAAA"/>
                <w:insideH w:val="single" w:sz="2" w:color="AAAAAA"/>
                <w:insideV w:val="single" w:sz="2" w:color="AAAAAA"/>
              </w:tblBorders>
              <w:tblLook w:val="0000"/>
            </w:tblPr>
            <w:tblGrid>
              <w:gridCol w:w="2448"/>
              <w:gridCol w:w="1584"/>
            </w:tblGrid>
            <w:tr>
              <w:tc>
                <w:tcPr>
                  <w:tcW w:w="2448"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444444"/>
                    </w:rPr>
                    <w:t xml:space="preserve">No of employees</w:t>
                  </w:r>
                </w:p>
              </w:tc>
              <w:tc>
                <w:tcPr>
                  <w:tcW w:w="1584"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444444"/>
                    </w:rPr>
                    <w:t xml:space="preserve">Amount in USD per month</w:t>
                  </w:r>
                </w:p>
              </w:tc>
            </w:tr>
            <w:tr>
              <w:tc>
                <w:tcPr>
                  <w:tcW w:w="2448"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444444"/>
                    </w:rPr>
                    <w:t xml:space="preserve">Upto 10 employees</w:t>
                  </w:r>
                </w:p>
              </w:tc>
              <w:tc>
                <w:tcPr>
                  <w:tcW w:w="1584"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444444"/>
                    </w:rPr>
                    <w:t xml:space="preserve">125 USD</w:t>
                  </w:r>
                </w:p>
              </w:tc>
            </w:tr>
            <w:tr>
              <w:tc>
                <w:tcPr>
                  <w:tcW w:w="2448"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444444"/>
                    </w:rPr>
                    <w:t xml:space="preserve">11 - 20 employees</w:t>
                  </w:r>
                </w:p>
              </w:tc>
              <w:tc>
                <w:tcPr>
                  <w:tcW w:w="1584"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444444"/>
                    </w:rPr>
                    <w:t xml:space="preserve">200 USD</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125 per month</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16,300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1,300 one time</w:t>
            </w:r>
          </w:p>
        </w:tc>
      </w:tr>
    </w:tbl>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*The above quotation fee is for approx.20 transactions per month</w:t>
      </w:r>
    </w:p>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government/statutory fees etc.</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200" w:line="240" w:lineRule="auto"/>
        <w:contextualSpacing w:val="0"/>
      </w:pP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