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KAVYA MEHTA PRIVATE LIMITED</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12.11.2002</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Kavya Mehta</w:t>
      </w:r>
    </w:p>
    <w:p>
      <w:pPr>
        <w:spacing w:before="0" w:after="40" w:line="240" w:lineRule="auto"/>
        <w:ind w:left="0"/>
        <w:contextualSpacing w:val="0"/>
      </w:pPr>
      <w:r>
        <w:rPr>
          <w:rFonts w:ascii="Roboto" w:hAnsi="Roboto"/>
          <w:sz w:val="22"/>
          <w:szCs w:val="22"/>
        </w:rPr>
        <w:t xml:space="preserve">Manager</w:t>
      </w:r>
    </w:p>
    <w:p>
      <w:pPr>
        <w:spacing w:before="0" w:after="40" w:line="240" w:lineRule="auto"/>
        <w:ind w:left="0"/>
        <w:contextualSpacing w:val="0"/>
      </w:pPr>
      <w:r>
        <w:rPr>
          <w:rFonts w:ascii="Roboto" w:hAnsi="Roboto"/>
          <w:sz w:val="22"/>
          <w:szCs w:val="22"/>
        </w:rPr>
        <w:t xml:space="preserve">Kavya Mehta Private Limited</w:t>
      </w:r>
    </w:p>
    <w:p>
      <w:pPr>
        <w:spacing w:before="0" w:after="40" w:line="240" w:lineRule="auto"/>
        <w:ind w:left="0"/>
        <w:contextualSpacing w:val="0"/>
      </w:pPr>
      <w:r>
        <w:rPr>
          <w:rFonts w:ascii="Roboto" w:hAnsi="Roboto"/>
          <w:sz w:val="22"/>
          <w:szCs w:val="22"/>
        </w:rPr>
        <w:t xml:space="preserve">Vashi, Sector 17, </w:t>
      </w:r>
    </w:p>
    <w:p>
      <w:pPr>
        <w:spacing w:before="0" w:after="40" w:line="240" w:lineRule="auto"/>
        <w:ind w:left="0"/>
        <w:contextualSpacing w:val="0"/>
      </w:pPr>
      <w:r>
        <w:rPr>
          <w:rFonts w:ascii="Roboto" w:hAnsi="Roboto"/>
          <w:sz w:val="22"/>
          <w:szCs w:val="22"/>
        </w:rPr>
        <w:t xml:space="preserve">Navi Mumbai, Maharashtra</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Kavya,</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360" w:hanging="360"/>
        <w:contextualSpacing w:val="0"/>
      </w:pPr>
      <w:r>
        <w:rPr>
          <w:rFonts w:ascii="Roboto" w:hAnsi="Roboto"/>
          <w:sz w:val="22"/>
          <w:szCs w:val="22"/>
        </w:rPr>
        <w:t xml:space="preserve">• ABC Pte Ltd, headquartered in Belgium, is engaged in the manufacturing of (semi) automatic bagging lines. It has recently established an wholly owned subsidiary - Corpax India Pvt limited in India to capitalize on India’s growing market and for catering to both the Indian and Southeast Asian markets.</w:t>
      </w:r>
    </w:p>
    <w:p>
      <w:pPr>
        <w:spacing w:before="0" w:after="60" w:line="240" w:lineRule="auto"/>
        <w:ind w:left="360" w:hanging="360"/>
        <w:contextualSpacing w:val="0"/>
      </w:pPr>
      <w:r>
        <w:rPr>
          <w:rFonts w:ascii="Roboto" w:hAnsi="Roboto"/>
          <w:sz w:val="22"/>
          <w:szCs w:val="22"/>
        </w:rPr>
        <w:t xml:space="preserve">• ABC Pte Ltd, headquartered in Belgium, is engaged in the manufacturing of (semi) automatic bagging lines. It has recently established an wholly owned subsidiary - Corpax India Pvt limited in India to capitalize on India’s growing market and for catering to both the Indian and Southeast Asian markets.</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A. One time Handover Service</w:t>
      </w:r>
    </w:p>
    <w:p>
      <w:pPr>
        <w:spacing w:before="0" w:after="40" w:line="240" w:lineRule="auto"/>
        <w:ind w:left="0"/>
        <w:contextualSpacing w:val="0"/>
      </w:pPr>
      <w:r>
        <w:rPr>
          <w:rFonts w:ascii="Roboto" w:hAnsi="Roboto"/>
          <w:sz w:val="22"/>
          <w:szCs w:val="22"/>
        </w:rPr>
        <w:t xml:space="preserve">Since the company has been in existence since 2002, we shall need to undertake a handover of the current financial, secretarial, payroll and other records of the company from current service provider.</w:t>
      </w:r>
    </w:p>
    <w:p>
      <w:pPr>
        <w:spacing w:before="0" w:after="40" w:line="240" w:lineRule="auto"/>
        <w:contextualSpacing w:val="0"/>
      </w:pPr>
    </w:p>
    <w:tbl>
      <w:tblPr>
        <w:tblStyle w:val="TableGrid"/>
        <w:tblW w:w="10656" w:type="dxa"/>
        <w:tblInd w:w="0"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jc w:val="both"/>
              <w:contextualSpacing w:val="0"/>
            </w:pPr>
            <w:r>
              <w:rPr>
                <w:rFonts w:ascii="Roboto" w:hAnsi="Roboto"/>
                <w:sz w:val="22"/>
                <w:szCs w:val="22"/>
                <w:color w:val="C00000"/>
              </w:rPr>
              <w:t xml:space="preserve">Handover from erstwhile service provider of various records under laws as mentioned below. This process does not entail conducting a due diligence.</w:t>
            </w:r>
          </w:p>
          <w:p>
            <w:pPr>
              <w:spacing w:before="0" w:after="60" w:line="240" w:lineRule="auto"/>
              <w:ind w:left="360" w:hanging="360"/>
              <w:contextualSpacing w:val="0"/>
            </w:pPr>
            <w:r>
              <w:rPr>
                <w:rFonts w:ascii="Roboto" w:hAnsi="Roboto"/>
                <w:sz w:val="20"/>
                <w:szCs w:val="20"/>
                <w:color w:val="777777"/>
              </w:rPr>
              <w:t xml:space="preserve">• GST laws/regulations</w:t>
            </w:r>
          </w:p>
          <w:p>
            <w:pPr>
              <w:spacing w:before="0" w:after="60" w:line="240" w:lineRule="auto"/>
              <w:ind w:left="360" w:hanging="360"/>
              <w:contextualSpacing w:val="0"/>
            </w:pPr>
            <w:r>
              <w:rPr>
                <w:rFonts w:ascii="Roboto" w:hAnsi="Roboto"/>
                <w:sz w:val="20"/>
                <w:szCs w:val="20"/>
                <w:color w:val="777777"/>
              </w:rPr>
              <w:t xml:space="preserve">• Income Tax Act, 1961</w:t>
            </w:r>
          </w:p>
          <w:p>
            <w:pPr>
              <w:spacing w:before="0" w:after="60" w:line="240" w:lineRule="auto"/>
              <w:ind w:left="360" w:hanging="360"/>
              <w:contextualSpacing w:val="0"/>
            </w:pPr>
            <w:r>
              <w:rPr>
                <w:rFonts w:ascii="Roboto" w:hAnsi="Roboto"/>
                <w:sz w:val="20"/>
                <w:szCs w:val="20"/>
                <w:color w:val="777777"/>
              </w:rPr>
              <w:t xml:space="preserve">• Company’s Act, 2013</w:t>
            </w:r>
          </w:p>
          <w:p>
            <w:pPr>
              <w:spacing w:before="0" w:after="60" w:line="240" w:lineRule="auto"/>
              <w:ind w:left="360" w:hanging="360"/>
              <w:contextualSpacing w:val="0"/>
            </w:pPr>
            <w:r>
              <w:rPr>
                <w:rFonts w:ascii="Roboto" w:hAnsi="Roboto"/>
                <w:sz w:val="20"/>
                <w:szCs w:val="20"/>
                <w:color w:val="777777"/>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Basic due diligence from perspective of*–</w:t>
            </w:r>
          </w:p>
          <w:p>
            <w:pPr>
              <w:spacing w:before="0" w:after="60" w:line="240" w:lineRule="auto"/>
              <w:ind w:left="360" w:hanging="360"/>
              <w:contextualSpacing w:val="0"/>
            </w:pPr>
            <w:r>
              <w:rPr>
                <w:rFonts w:ascii="Roboto" w:hAnsi="Roboto"/>
                <w:sz w:val="20"/>
                <w:szCs w:val="20"/>
                <w:color w:val="777777"/>
              </w:rPr>
              <w:t xml:space="preserve">• Company’s Act, 2013</w:t>
            </w:r>
          </w:p>
          <w:p>
            <w:pPr>
              <w:spacing w:before="0" w:after="60" w:line="240" w:lineRule="auto"/>
              <w:ind w:left="360" w:hanging="360"/>
              <w:contextualSpacing w:val="0"/>
            </w:pPr>
            <w:r>
              <w:rPr>
                <w:rFonts w:ascii="Roboto" w:hAnsi="Roboto"/>
                <w:sz w:val="20"/>
                <w:szCs w:val="20"/>
                <w:color w:val="777777"/>
              </w:rPr>
              <w:t xml:space="preserve">• Income Tax Act, 1961</w:t>
            </w:r>
          </w:p>
          <w:p>
            <w:pPr>
              <w:spacing w:before="0" w:after="60" w:line="240" w:lineRule="auto"/>
              <w:ind w:left="360" w:hanging="360"/>
              <w:contextualSpacing w:val="0"/>
            </w:pPr>
            <w:r>
              <w:rPr>
                <w:rFonts w:ascii="Roboto" w:hAnsi="Roboto"/>
                <w:sz w:val="20"/>
                <w:szCs w:val="20"/>
                <w:color w:val="777777"/>
              </w:rPr>
              <w:t xml:space="preserve">• Goods and Service Tax Act, 2017</w:t>
            </w:r>
          </w:p>
          <w:p>
            <w:pPr>
              <w:spacing w:before="0" w:after="60" w:line="240" w:lineRule="auto"/>
              <w:ind w:left="360" w:hanging="360"/>
              <w:contextualSpacing w:val="0"/>
            </w:pPr>
            <w:r>
              <w:rPr>
                <w:rFonts w:ascii="Roboto" w:hAnsi="Roboto"/>
                <w:sz w:val="20"/>
                <w:szCs w:val="20"/>
                <w:color w:val="777777"/>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year</w:t>
            </w:r>
          </w:p>
        </w:tc>
      </w:tr>
    </w:tbl>
    <w:p>
      <w:pPr>
        <w:spacing w:before="0" w:after="0" w:line="240" w:lineRule="auto"/>
        <w:contextualSpacing w:val="0"/>
      </w:pPr>
    </w:p>
    <w:p>
      <w:pPr>
        <w:spacing w:before="0" w:after="40" w:line="240" w:lineRule="auto"/>
        <w:ind w:left="0"/>
        <w:jc w:val="both"/>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any fees towards regularisation of past non compliances.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B.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ind w:left="0"/>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color w:val="777777"/>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1) GST Compliances:</w:t>
            </w:r>
          </w:p>
          <w:p>
            <w:pPr>
              <w:spacing w:before="0" w:after="20" w:line="240" w:lineRule="auto"/>
              <w:ind w:left="200" w:hanging="200"/>
              <w:contextualSpacing w:val="0"/>
            </w:pPr>
            <w:r>
              <w:rPr>
                <w:rFonts w:ascii="Roboto" w:hAnsi="Roboto"/>
                <w:sz w:val="20"/>
                <w:szCs w:val="20"/>
                <w:color w:val="777777"/>
              </w:rPr>
              <w:t xml:space="preserve">• Calculations and payment of GST</w:t>
            </w:r>
          </w:p>
          <w:p>
            <w:pPr>
              <w:spacing w:before="0" w:after="20" w:line="240" w:lineRule="auto"/>
              <w:ind w:left="200" w:hanging="200"/>
              <w:contextualSpacing w:val="0"/>
            </w:pPr>
            <w:r>
              <w:rPr>
                <w:rFonts w:ascii="Roboto" w:hAnsi="Roboto"/>
                <w:sz w:val="20"/>
                <w:szCs w:val="20"/>
                <w:color w:val="777777"/>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Company Law Compliances (Scope as per Annexure 1)</w:t>
            </w:r>
          </w:p>
          <w:p>
            <w:pPr>
              <w:spacing w:before="0" w:after="20" w:line="240" w:lineRule="auto"/>
              <w:ind w:left="0"/>
              <w:contextualSpacing w:val="0"/>
            </w:pPr>
            <w:r>
              <w:rPr>
                <w:rFonts w:ascii="Roboto" w:hAnsi="Roboto"/>
                <w:sz w:val="20"/>
                <w:szCs w:val="20"/>
                <w:color w:val="777777"/>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450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Setup of accounting software</w:t>
            </w:r>
          </w:p>
          <w:p>
            <w:pPr>
              <w:spacing w:before="0" w:after="20" w:line="240" w:lineRule="auto"/>
              <w:ind w:left="200" w:hanging="200"/>
              <w:contextualSpacing w:val="0"/>
            </w:pPr>
            <w:r>
              <w:rPr>
                <w:rFonts w:ascii="Roboto" w:hAnsi="Roboto"/>
                <w:sz w:val="20"/>
                <w:szCs w:val="20"/>
                <w:color w:val="777777"/>
              </w:rPr>
              <w:t xml:space="preserve">• Liaison with the software expert for the setup</w:t>
            </w:r>
          </w:p>
          <w:p>
            <w:pPr>
              <w:spacing w:before="0" w:after="20" w:line="240" w:lineRule="auto"/>
              <w:ind w:left="200" w:hanging="200"/>
              <w:contextualSpacing w:val="0"/>
            </w:pPr>
            <w:r>
              <w:rPr>
                <w:rFonts w:ascii="Roboto" w:hAnsi="Roboto"/>
                <w:sz w:val="20"/>
                <w:szCs w:val="20"/>
                <w:color w:val="777777"/>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 Preparation of the financial Statements as per the Indian accounting Standards</w:t>
            </w:r>
          </w:p>
          <w:p>
            <w:pPr>
              <w:spacing w:before="0" w:after="20" w:line="240" w:lineRule="auto"/>
              <w:ind w:left="200" w:hanging="200"/>
              <w:contextualSpacing w:val="0"/>
            </w:pPr>
            <w:r>
              <w:rPr>
                <w:rFonts w:ascii="Roboto" w:hAnsi="Roboto"/>
                <w:sz w:val="20"/>
                <w:szCs w:val="20"/>
                <w:color w:val="777777"/>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Shop &amp; Establishment and POSH Compliance:</w:t>
            </w:r>
          </w:p>
          <w:p>
            <w:pPr>
              <w:spacing w:before="0" w:after="20" w:line="240" w:lineRule="auto"/>
              <w:ind w:left="0"/>
              <w:contextualSpacing w:val="0"/>
            </w:pPr>
            <w:r>
              <w:rPr>
                <w:rFonts w:ascii="Roboto" w:hAnsi="Roboto"/>
                <w:sz w:val="20"/>
                <w:szCs w:val="20"/>
                <w:color w:val="777777"/>
              </w:rPr>
              <w:t xml:space="preserve">1. Obtaining Shop and establishment registration under Karnataka Shop and establishment act</w:t>
            </w:r>
          </w:p>
          <w:p>
            <w:pPr>
              <w:spacing w:before="0" w:after="20" w:line="240" w:lineRule="auto"/>
              <w:ind w:left="0"/>
              <w:contextualSpacing w:val="0"/>
            </w:pPr>
            <w:r>
              <w:rPr>
                <w:rFonts w:ascii="Roboto" w:hAnsi="Roboto"/>
                <w:sz w:val="20"/>
                <w:szCs w:val="20"/>
                <w:color w:val="777777"/>
              </w:rPr>
              <w:t xml:space="preserve">2. Drafting of POSH (Prevention of Sexual Harassment at Workplace)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Labour Law Compliances:</w:t>
            </w:r>
          </w:p>
          <w:p>
            <w:pPr>
              <w:spacing w:before="0" w:after="20" w:line="240" w:lineRule="auto"/>
              <w:ind w:left="200" w:hanging="200"/>
              <w:contextualSpacing w:val="0"/>
            </w:pPr>
            <w:r>
              <w:rPr>
                <w:rFonts w:ascii="Roboto" w:hAnsi="Roboto"/>
                <w:sz w:val="20"/>
                <w:szCs w:val="20"/>
                <w:color w:val="777777"/>
              </w:rPr>
              <w:t xml:space="preserve">• Provident Fund</w:t>
            </w:r>
          </w:p>
          <w:p>
            <w:pPr>
              <w:spacing w:before="0" w:after="20" w:line="240" w:lineRule="auto"/>
              <w:ind w:left="200" w:hanging="200"/>
              <w:contextualSpacing w:val="0"/>
            </w:pPr>
            <w:r>
              <w:rPr>
                <w:rFonts w:ascii="Roboto" w:hAnsi="Roboto"/>
                <w:sz w:val="20"/>
                <w:szCs w:val="20"/>
                <w:color w:val="777777"/>
              </w:rPr>
              <w:t xml:space="preserve">• Employees State Insurance Corporation</w:t>
            </w:r>
          </w:p>
          <w:p>
            <w:pPr>
              <w:spacing w:before="0" w:after="20" w:line="240" w:lineRule="auto"/>
              <w:ind w:left="200" w:hanging="200"/>
              <w:contextualSpacing w:val="0"/>
            </w:pPr>
            <w:r>
              <w:rPr>
                <w:rFonts w:ascii="Roboto" w:hAnsi="Roboto"/>
                <w:sz w:val="20"/>
                <w:szCs w:val="20"/>
                <w:color w:val="777777"/>
              </w:rPr>
              <w:t xml:space="preserve">• Profession Tax</w:t>
            </w:r>
          </w:p>
          <w:p>
            <w:pPr>
              <w:spacing w:before="0" w:after="20" w:line="240" w:lineRule="auto"/>
              <w:ind w:left="200" w:hanging="200"/>
              <w:contextualSpacing w:val="0"/>
            </w:pPr>
            <w:r>
              <w:rPr>
                <w:rFonts w:ascii="Roboto" w:hAnsi="Roboto"/>
                <w:sz w:val="20"/>
                <w:szCs w:val="20"/>
                <w:color w:val="777777"/>
              </w:rPr>
              <w:t xml:space="preserve">• Labor Welfare Fund</w:t>
            </w:r>
          </w:p>
          <w:p>
            <w:pPr>
              <w:spacing w:before="0" w:after="20" w:line="240" w:lineRule="auto"/>
              <w:ind w:left="0"/>
              <w:contextualSpacing w:val="0"/>
            </w:pPr>
            <w:r>
              <w:rPr>
                <w:rFonts w:ascii="Roboto" w:hAnsi="Roboto"/>
                <w:sz w:val="20"/>
                <w:szCs w:val="20"/>
                <w:color w:val="777777"/>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Annual Return under:</w:t>
            </w:r>
          </w:p>
          <w:p>
            <w:pPr>
              <w:spacing w:before="0" w:after="20" w:line="240" w:lineRule="auto"/>
              <w:ind w:left="200" w:hanging="200"/>
              <w:contextualSpacing w:val="0"/>
            </w:pPr>
            <w:r>
              <w:rPr>
                <w:rFonts w:ascii="Roboto" w:hAnsi="Roboto"/>
                <w:sz w:val="20"/>
                <w:szCs w:val="20"/>
                <w:color w:val="777777"/>
              </w:rPr>
              <w:t xml:space="preserve">• Sexual Harassment of Women at Workplace Act, 2013</w:t>
            </w:r>
          </w:p>
          <w:p>
            <w:pPr>
              <w:spacing w:before="0" w:after="20" w:line="240" w:lineRule="auto"/>
              <w:ind w:left="200" w:hanging="200"/>
              <w:contextualSpacing w:val="0"/>
            </w:pPr>
            <w:r>
              <w:rPr>
                <w:rFonts w:ascii="Roboto" w:hAnsi="Roboto"/>
                <w:sz w:val="20"/>
                <w:szCs w:val="20"/>
                <w:color w:val="777777"/>
              </w:rPr>
              <w:t xml:space="preserve">• Shop and Establishment Act</w:t>
            </w:r>
          </w:p>
          <w:p>
            <w:pPr>
              <w:spacing w:before="0" w:after="20" w:line="240" w:lineRule="auto"/>
              <w:ind w:left="200" w:hanging="200"/>
              <w:contextualSpacing w:val="0"/>
            </w:pPr>
            <w:r>
              <w:rPr>
                <w:rFonts w:ascii="Roboto" w:hAnsi="Roboto"/>
                <w:sz w:val="20"/>
                <w:szCs w:val="20"/>
                <w:color w:val="777777"/>
              </w:rPr>
              <w:t xml:space="preserve">• Maternity Act</w:t>
            </w:r>
          </w:p>
          <w:p>
            <w:pPr>
              <w:spacing w:before="0" w:after="20" w:line="240" w:lineRule="auto"/>
              <w:ind w:left="200" w:hanging="200"/>
              <w:contextualSpacing w:val="0"/>
            </w:pPr>
            <w:r>
              <w:rPr>
                <w:rFonts w:ascii="Roboto" w:hAnsi="Roboto"/>
                <w:sz w:val="20"/>
                <w:szCs w:val="20"/>
                <w:color w:val="777777"/>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Accounting and maintenance of books of accounts:</w:t>
            </w:r>
          </w:p>
          <w:p>
            <w:pPr>
              <w:spacing w:before="0" w:after="40" w:line="240" w:lineRule="auto"/>
              <w:ind w:left="200" w:hanging="200"/>
              <w:contextualSpacing w:val="0"/>
            </w:pPr>
            <w:r>
              <w:rPr>
                <w:rFonts w:ascii="Roboto" w:hAnsi="Roboto"/>
                <w:sz w:val="20"/>
                <w:szCs w:val="20"/>
                <w:color w:val="777777"/>
              </w:rPr>
              <w:t xml:space="preserve">• Data entry in accounting software</w:t>
            </w:r>
          </w:p>
          <w:p>
            <w:pPr>
              <w:spacing w:before="0" w:after="40" w:line="240" w:lineRule="auto"/>
              <w:ind w:left="200" w:hanging="200"/>
              <w:contextualSpacing w:val="0"/>
            </w:pPr>
            <w:r>
              <w:rPr>
                <w:rFonts w:ascii="Roboto" w:hAnsi="Roboto"/>
                <w:sz w:val="20"/>
                <w:szCs w:val="20"/>
                <w:color w:val="777777"/>
              </w:rPr>
              <w:t xml:space="preserve">• Weekly processing of Bank Reconciliation</w:t>
            </w:r>
          </w:p>
          <w:p>
            <w:pPr>
              <w:spacing w:before="0" w:after="40" w:line="240" w:lineRule="auto"/>
              <w:ind w:left="200" w:hanging="200"/>
              <w:contextualSpacing w:val="0"/>
            </w:pPr>
            <w:r>
              <w:rPr>
                <w:rFonts w:ascii="Roboto" w:hAnsi="Roboto"/>
                <w:sz w:val="20"/>
                <w:szCs w:val="20"/>
                <w:color w:val="777777"/>
              </w:rPr>
              <w:t xml:space="preserve">• Weekly processing of Purchase invoices</w:t>
            </w:r>
          </w:p>
          <w:p>
            <w:pPr>
              <w:spacing w:before="0" w:after="40" w:line="240" w:lineRule="auto"/>
              <w:contextualSpacing w:val="0"/>
            </w:pPr>
          </w:p>
          <w:tbl>
            <w:tblPr>
              <w:tblW w:w="5000" w:type="pct"/>
              <w:jc w:val="center"/>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3035"/>
              <w:gridCol w:w="1964"/>
            </w:tblGrid>
            <w:tr>
              <w:tc>
                <w:tcPr>
                  <w:tcW w:w="3035"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No. of transactions per month</w:t>
                  </w:r>
                </w:p>
              </w:tc>
              <w:tc>
                <w:tcPr>
                  <w:tcW w:w="1964"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Fees per month (in USD)</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Upto 20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200</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20 - 50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250</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50-80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300</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sz w:val="20"/>
                <w:szCs w:val="20"/>
                <w:color w:val="777777"/>
              </w:rPr>
              <w:t xml:space="preserve">Payroll Processing** (Scope as per Annexure 3)</w:t>
            </w:r>
          </w:p>
          <w:p>
            <w:pPr>
              <w:spacing w:before="0" w:after="40" w:line="240" w:lineRule="auto"/>
              <w:contextualSpacing w:val="0"/>
            </w:pPr>
          </w:p>
          <w:tbl>
            <w:tblPr>
              <w:tblW w:w="5000" w:type="pct"/>
              <w:jc w:val="center"/>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3035"/>
              <w:gridCol w:w="1964"/>
            </w:tblGrid>
            <w:tr>
              <w:tc>
                <w:tcPr>
                  <w:tcW w:w="3035"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No of employees</w:t>
                  </w:r>
                </w:p>
              </w:tc>
              <w:tc>
                <w:tcPr>
                  <w:tcW w:w="1964"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Amount in USD per month</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Upto 10 employees</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125 USD</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11 - 20 employees</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200 USD</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125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1,300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government/statutory fees etc.</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pPr>
        <w:spacing w:before="200" w:after="120" w:line="240" w:lineRule="auto"/>
        <w:ind w:left="0"/>
        <w:contextualSpacing w:val="0"/>
      </w:pPr>
      <w:r>
        <w:rPr>
          <w:rFonts w:ascii="Roboto" w:hAnsi="Roboto"/>
          <w:b/>
          <w:sz w:val="24"/>
          <w:szCs w:val="24"/>
          <w:color w:val="C00000"/>
        </w:rPr>
        <w:t xml:space="preserve">C. Transfer Pricing compliances</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color w:val="777777"/>
              </w:rPr>
              <w:t xml:space="preserve">1. Assistance in conducting Functional, Asset and Risk Analysis of the proposed transaction.</w:t>
            </w:r>
          </w:p>
          <w:p>
            <w:pPr>
              <w:spacing w:before="0" w:after="40" w:line="240" w:lineRule="auto"/>
              <w:ind w:left="0"/>
              <w:contextualSpacing w:val="0"/>
            </w:pPr>
            <w:r>
              <w:rPr>
                <w:rFonts w:ascii="Roboto" w:hAnsi="Roboto"/>
                <w:sz w:val="20"/>
                <w:szCs w:val="20"/>
                <w:color w:val="777777"/>
              </w:rPr>
              <w:t xml:space="preserve">2. Assisting in arriving at the arm’s length price or margin range.</w:t>
            </w:r>
          </w:p>
          <w:p>
            <w:pPr>
              <w:spacing w:before="0" w:after="40" w:line="240" w:lineRule="auto"/>
              <w:ind w:left="0"/>
              <w:contextualSpacing w:val="0"/>
            </w:pPr>
            <w:r>
              <w:rPr>
                <w:rFonts w:ascii="Roboto" w:hAnsi="Roboto"/>
                <w:sz w:val="20"/>
                <w:szCs w:val="20"/>
                <w:color w:val="777777"/>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color w:val="777777"/>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3,000</w:t>
            </w:r>
          </w:p>
        </w:tc>
      </w:tr>
    </w:tbl>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120" w:line="240" w:lineRule="auto"/>
        <w:contextualSpacing w:val="0"/>
      </w:pPr>
    </w:p>
    <w:p>
      <w:pPr>
        <w:spacing w:before="20" w:after="20" w:line="240" w:lineRule="auto"/>
        <w:ind w:left="0"/>
        <w:contextualSpacing w:val="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