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8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-43180</wp:posOffset>
            </wp:positionV>
            <wp:extent cx="7772400" cy="999308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99930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1" w:lineRule="auto" w:before="0" w:after="0"/>
        <w:ind w:left="0" w:right="3584" w:firstLine="0"/>
        <w:jc w:val="right"/>
      </w:pPr>
      <w:r>
        <w:rPr>
          <w:rFonts w:ascii="Microsoft Sans Serif" w:hAnsi="Microsoft Sans Serif" w:eastAsia="Microsoft Sans Serif"/>
          <w:b w:val="0"/>
          <w:i w:val="0"/>
          <w:color w:val="FFFFFF"/>
          <w:sz w:val="40"/>
        </w:rPr>
        <w:t>j3k</w:t>
      </w: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8580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1" w:lineRule="auto" w:before="452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12. 02. 2026</w:t>
      </w:r>
    </w:p>
    <w:p>
      <w:pPr>
        <w:autoSpaceDN w:val="0"/>
        <w:autoSpaceDE w:val="0"/>
        <w:widowControl/>
        <w:spacing w:line="245" w:lineRule="auto" w:before="280" w:after="0"/>
        <w:ind w:left="830" w:right="10224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asxa </w:t>
      </w:r>
      <w:r>
        <w:br/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jd </w:t>
      </w:r>
      <w:r>
        <w:br/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j3k </w:t>
      </w:r>
      <w:r>
        <w:br/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dsf</w:t>
      </w:r>
    </w:p>
    <w:p>
      <w:pPr>
        <w:autoSpaceDN w:val="0"/>
        <w:autoSpaceDE w:val="0"/>
        <w:widowControl/>
        <w:spacing w:line="211" w:lineRule="auto" w:before="44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Dear asxa,</w:t>
      </w:r>
    </w:p>
    <w:p>
      <w:pPr>
        <w:autoSpaceDN w:val="0"/>
        <w:autoSpaceDE w:val="0"/>
        <w:widowControl/>
        <w:spacing w:line="199" w:lineRule="auto" w:before="286" w:after="0"/>
        <w:ind w:left="830" w:right="0" w:firstLine="0"/>
        <w:jc w:val="left"/>
      </w:pPr>
      <w:r>
        <w:rPr>
          <w:rFonts w:ascii="Roboto" w:hAnsi="Roboto" w:eastAsia="Roboto"/>
          <w:b/>
          <w:i w:val="0"/>
          <w:color w:val="C00000"/>
          <w:sz w:val="20"/>
        </w:rPr>
        <w:t>RE: FEE PROPOSAL</w:t>
      </w:r>
    </w:p>
    <w:p>
      <w:pPr>
        <w:autoSpaceDN w:val="0"/>
        <w:autoSpaceDE w:val="0"/>
        <w:widowControl/>
        <w:spacing w:line="211" w:lineRule="auto" w:before="194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We are pleased to be presenting our proposal to you.</w:t>
      </w:r>
    </w:p>
    <w:p>
      <w:pPr>
        <w:autoSpaceDN w:val="0"/>
        <w:autoSpaceDE w:val="0"/>
        <w:widowControl/>
        <w:spacing w:line="245" w:lineRule="auto" w:before="280" w:after="0"/>
        <w:ind w:left="830" w:right="144" w:firstLine="0"/>
        <w:jc w:val="both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Our team of experienced professionals work very closely with clients on various corporate, accounting, compliance and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governance matter and identify the unique requirements of individual organizations. As a strong believer of long-term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partnerships, we are committed to providing tailored solutions that not only meet our clients' objectives, but also giving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them a peace of mind to focus on their core businesses.</w:t>
      </w:r>
    </w:p>
    <w:p>
      <w:pPr>
        <w:autoSpaceDN w:val="0"/>
        <w:autoSpaceDE w:val="0"/>
        <w:widowControl/>
        <w:spacing w:line="245" w:lineRule="auto" w:before="280" w:after="0"/>
        <w:ind w:left="830" w:right="144" w:firstLine="0"/>
        <w:jc w:val="both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The following pages outline our services tailor made to you and we trust that our proposal meets your expectations. We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are excited to work with you and look forward to a long and mutually beneficial working relationship with you and the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company.</w:t>
      </w:r>
    </w:p>
    <w:p>
      <w:pPr>
        <w:autoSpaceDN w:val="0"/>
        <w:autoSpaceDE w:val="0"/>
        <w:widowControl/>
        <w:spacing w:line="211" w:lineRule="auto" w:before="28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,</w:t>
      </w:r>
    </w:p>
    <w:p>
      <w:pPr>
        <w:autoSpaceDN w:val="0"/>
        <w:autoSpaceDE w:val="0"/>
        <w:widowControl/>
        <w:spacing w:line="211" w:lineRule="auto" w:before="28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Yours Sincerely and on behalf of In.Corp,</w:t>
      </w:r>
    </w:p>
    <w:p>
      <w:pPr>
        <w:autoSpaceDN w:val="0"/>
        <w:autoSpaceDE w:val="0"/>
        <w:widowControl/>
        <w:spacing w:line="245" w:lineRule="auto" w:before="526" w:after="5762"/>
        <w:ind w:left="830" w:right="7632" w:firstLine="0"/>
        <w:jc w:val="left"/>
      </w:pPr>
      <w:r>
        <w:rPr>
          <w:rFonts w:ascii="Roboto" w:hAnsi="Roboto" w:eastAsia="Roboto"/>
          <w:b/>
          <w:i w:val="0"/>
          <w:color w:val="000000"/>
          <w:sz w:val="20"/>
        </w:rPr>
        <w:t xml:space="preserve">CA Bansi Shah </w:t>
      </w:r>
      <w:r>
        <w:br/>
      </w:r>
      <w:r>
        <w:rPr>
          <w:rFonts w:ascii="Roboto" w:hAnsi="Roboto" w:eastAsia="Roboto"/>
          <w:b/>
          <w:i w:val="0"/>
          <w:color w:val="000000"/>
          <w:sz w:val="20"/>
        </w:rPr>
        <w:t xml:space="preserve">Lead – International clients group </w:t>
      </w:r>
      <w:r>
        <w:br/>
      </w:r>
      <w:r>
        <w:rPr>
          <w:rFonts w:ascii="Roboto" w:hAnsi="Roboto" w:eastAsia="Roboto"/>
          <w:b/>
          <w:i w:val="0"/>
          <w:color w:val="000000"/>
          <w:sz w:val="20"/>
        </w:rPr>
        <w:t>InCorp Advisory Services Pvt Ltd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6.0" w:type="dxa"/>
      </w:tblPr>
      <w:tblGrid>
        <w:gridCol w:w="11534"/>
      </w:tblGrid>
      <w:tr>
        <w:trPr>
          <w:trHeight w:hRule="exact" w:val="584"/>
        </w:trPr>
        <w:tc>
          <w:tcPr>
            <w:tcW w:type="dxa" w:w="10808"/>
            <w:tcBorders>
              <w:top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44" w:val="left"/>
              </w:tabs>
              <w:autoSpaceDE w:val="0"/>
              <w:widowControl/>
              <w:spacing w:line="220" w:lineRule="exact" w:before="38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C00000"/>
                <w:sz w:val="16"/>
              </w:rPr>
              <w:t xml:space="preserve">www.incorp.asia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C00000"/>
                <w:sz w:val="16"/>
              </w:rPr>
              <w:t>Page 5 of 19</w:t>
            </w:r>
          </w:p>
          <w:p>
            <w:pPr>
              <w:autoSpaceDN w:val="0"/>
              <w:autoSpaceDE w:val="0"/>
              <w:widowControl/>
              <w:spacing w:line="192" w:lineRule="exact" w:before="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66666"/>
                <w:sz w:val="14"/>
              </w:rPr>
              <w:t>© In.Corp Global Pte Ltd. All Right Reserved.</w:t>
            </w:r>
          </w:p>
          <w:p>
            <w:pPr>
              <w:autoSpaceDN w:val="0"/>
              <w:autoSpaceDE w:val="0"/>
              <w:widowControl/>
              <w:spacing w:line="192" w:lineRule="exact" w:before="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999999"/>
                <w:sz w:val="14"/>
              </w:rPr>
              <w:t>This document is being furnished to you on a confidential basis and solely for your information.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696" w:bottom="166" w:left="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8580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468" w:after="0"/>
        <w:ind w:left="830" w:right="0" w:firstLine="0"/>
        <w:jc w:val="left"/>
      </w:pPr>
      <w:r>
        <w:rPr>
          <w:rFonts w:ascii="Roboto" w:hAnsi="Roboto" w:eastAsia="Roboto"/>
          <w:b/>
          <w:i w:val="0"/>
          <w:color w:val="C00000"/>
          <w:sz w:val="24"/>
        </w:rPr>
        <w:t>SCOPE OF SERVICES</w:t>
      </w:r>
    </w:p>
    <w:p>
      <w:pPr>
        <w:autoSpaceDN w:val="0"/>
        <w:autoSpaceDE w:val="0"/>
        <w:widowControl/>
        <w:spacing w:line="199" w:lineRule="auto" w:before="900" w:after="0"/>
        <w:ind w:left="830" w:right="0" w:firstLine="0"/>
        <w:jc w:val="left"/>
      </w:pPr>
      <w:r>
        <w:rPr>
          <w:rFonts w:ascii="Roboto" w:hAnsi="Roboto" w:eastAsia="Roboto"/>
          <w:b/>
          <w:i w:val="0"/>
          <w:color w:val="C00000"/>
          <w:sz w:val="24"/>
        </w:rPr>
        <w:t>FEES</w:t>
      </w:r>
    </w:p>
    <w:p>
      <w:pPr>
        <w:autoSpaceDN w:val="0"/>
        <w:autoSpaceDE w:val="0"/>
        <w:widowControl/>
        <w:spacing w:line="247" w:lineRule="auto" w:before="384" w:after="0"/>
        <w:ind w:left="830" w:right="144" w:firstLine="0"/>
        <w:jc w:val="both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This section outlines the estimated fees for InCorp's services of your company. Our fee structure includes initial setup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fees, as well as ongoing charges that may be billed monthly, quarterly, or annually. Additionally, fees may be incurred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based on the time spent on specific tasks or on a per-instance basis. For any additional services not encompassed by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this proposal that may incur, additional charges, we will receive your approval before any work commences. Please note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that all fees mentioned are in US Dollars, exclusive of the prevailing Goods and Services Tax (GST) / Value Added Tax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(VAT).</w:t>
      </w:r>
    </w:p>
    <w:p>
      <w:pPr>
        <w:autoSpaceDN w:val="0"/>
        <w:autoSpaceDE w:val="0"/>
        <w:widowControl/>
        <w:spacing w:line="199" w:lineRule="auto" w:before="366" w:after="0"/>
        <w:ind w:left="830" w:right="0" w:firstLine="0"/>
        <w:jc w:val="left"/>
      </w:pPr>
      <w:r>
        <w:rPr>
          <w:rFonts w:ascii="Roboto" w:hAnsi="Roboto" w:eastAsia="Roboto"/>
          <w:b/>
          <w:i w:val="0"/>
          <w:color w:val="C00000"/>
          <w:sz w:val="20"/>
        </w:rPr>
        <w:t>A. One time Handover Service</w:t>
      </w:r>
    </w:p>
    <w:p>
      <w:pPr>
        <w:autoSpaceDN w:val="0"/>
        <w:autoSpaceDE w:val="0"/>
        <w:widowControl/>
        <w:spacing w:line="245" w:lineRule="auto" w:before="334" w:after="190"/>
        <w:ind w:left="830" w:right="144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Since the company has been in existence since 35vfe, we shall need to undertake a handover of the current financial,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secretarial, payroll and other records of the company from current service provider.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3845"/>
        <w:gridCol w:w="3845"/>
        <w:gridCol w:w="3845"/>
      </w:tblGrid>
      <w:tr>
        <w:trPr>
          <w:trHeight w:hRule="exact" w:val="560"/>
        </w:trPr>
        <w:tc>
          <w:tcPr>
            <w:tcW w:type="dxa" w:w="6338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0" w:after="0"/>
              <w:ind w:left="116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000000"/>
                <w:sz w:val="20"/>
              </w:rPr>
              <w:t>Services</w:t>
            </w:r>
          </w:p>
        </w:tc>
        <w:tc>
          <w:tcPr>
            <w:tcW w:type="dxa" w:w="2160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0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000000"/>
                <w:sz w:val="20"/>
              </w:rPr>
              <w:t>Frequency</w:t>
            </w:r>
          </w:p>
        </w:tc>
        <w:tc>
          <w:tcPr>
            <w:tcW w:type="dxa" w:w="2158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0" w:after="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000000"/>
                <w:sz w:val="20"/>
              </w:rPr>
              <w:t>Fee (In USD)</w:t>
            </w:r>
          </w:p>
        </w:tc>
      </w:tr>
      <w:tr>
        <w:trPr>
          <w:trHeight w:hRule="exact" w:val="1520"/>
        </w:trPr>
        <w:tc>
          <w:tcPr>
            <w:tcW w:type="dxa" w:w="6338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2" w:after="0"/>
              <w:ind w:left="36" w:right="2304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C00000"/>
                <w:sz w:val="20"/>
              </w:rPr>
              <w:t>Basic due diligence from perspective of*–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• Company's Act, 2013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• Income Tax Act, 1961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• Goods and Service Tax Act, 2017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• Foreign Exchange Management Act, 1999</w:t>
            </w:r>
          </w:p>
        </w:tc>
        <w:tc>
          <w:tcPr>
            <w:tcW w:type="dxa" w:w="2160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One-time</w:t>
            </w:r>
          </w:p>
        </w:tc>
        <w:tc>
          <w:tcPr>
            <w:tcW w:type="dxa" w:w="2158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3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5" w:lineRule="auto" w:before="240" w:after="0"/>
        <w:ind w:left="830" w:right="432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 xml:space="preserve">*Any fees for rectification (or) completion of pending past compliances shall attract additional fees and we shall seek </w:t>
      </w: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your approval prior to commencement of that work.</w:t>
      </w:r>
    </w:p>
    <w:p>
      <w:pPr>
        <w:autoSpaceDN w:val="0"/>
        <w:autoSpaceDE w:val="0"/>
        <w:widowControl/>
        <w:spacing w:line="211" w:lineRule="auto" w:before="200" w:after="0"/>
        <w:ind w:left="830" w:right="0" w:firstLine="0"/>
        <w:jc w:val="left"/>
      </w:pPr>
      <w:r>
        <w:rPr>
          <w:u w:val="single" w:color="001f60"/>
          <w:rFonts w:ascii="Microsoft Sans Serif" w:hAnsi="Microsoft Sans Serif" w:eastAsia="Microsoft Sans Serif"/>
          <w:b w:val="0"/>
          <w:i w:val="0"/>
          <w:color w:val="002060"/>
          <w:sz w:val="20"/>
        </w:rPr>
        <w:t>Note:</w:t>
      </w:r>
    </w:p>
    <w:p>
      <w:pPr>
        <w:autoSpaceDN w:val="0"/>
        <w:autoSpaceDE w:val="0"/>
        <w:widowControl/>
        <w:spacing w:line="245" w:lineRule="auto" w:before="280" w:after="0"/>
        <w:ind w:left="830" w:right="3168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• All fees quoted above exclude 18% GST</w:t>
      </w:r>
      <w:r>
        <w:br/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• Professional fees exclude any fees towards regularisation of past non compliances.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• Advance of 100% of the above selected option.</w:t>
      </w:r>
    </w:p>
    <w:p>
      <w:pPr>
        <w:autoSpaceDN w:val="0"/>
        <w:autoSpaceDE w:val="0"/>
        <w:widowControl/>
        <w:spacing w:line="211" w:lineRule="auto" w:before="28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* Any other services not specifically quoted above and not specifically agreed separately shall be chargeable as under:</w:t>
      </w:r>
    </w:p>
    <w:p>
      <w:pPr>
        <w:autoSpaceDN w:val="0"/>
        <w:autoSpaceDE w:val="0"/>
        <w:widowControl/>
        <w:spacing w:line="211" w:lineRule="auto" w:before="20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For Partner: USD 300 per Hour</w:t>
      </w:r>
    </w:p>
    <w:p>
      <w:pPr>
        <w:autoSpaceDN w:val="0"/>
        <w:autoSpaceDE w:val="0"/>
        <w:widowControl/>
        <w:spacing w:line="211" w:lineRule="auto" w:before="20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For Associates: USD 200 per Hour</w:t>
      </w:r>
    </w:p>
    <w:p>
      <w:pPr>
        <w:autoSpaceDN w:val="0"/>
        <w:autoSpaceDE w:val="0"/>
        <w:widowControl/>
        <w:spacing w:line="199" w:lineRule="auto" w:before="446" w:after="308"/>
        <w:ind w:left="830" w:right="0" w:firstLine="0"/>
        <w:jc w:val="left"/>
      </w:pPr>
      <w:r>
        <w:rPr>
          <w:rFonts w:ascii="Roboto" w:hAnsi="Roboto" w:eastAsia="Roboto"/>
          <w:b/>
          <w:i w:val="0"/>
          <w:color w:val="C00000"/>
          <w:sz w:val="20"/>
        </w:rPr>
        <w:t>B. Incorporation / Secretarial Service and Mandatory Registrations post Incorporation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6.0" w:type="dxa"/>
      </w:tblPr>
      <w:tblGrid>
        <w:gridCol w:w="5767"/>
        <w:gridCol w:w="5767"/>
      </w:tblGrid>
      <w:tr>
        <w:trPr>
          <w:trHeight w:hRule="exact" w:val="278"/>
        </w:trPr>
        <w:tc>
          <w:tcPr>
            <w:tcW w:type="dxa" w:w="8206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62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1"/>
        </w:trPr>
        <w:tc>
          <w:tcPr>
            <w:tcW w:type="dxa" w:w="8206"/>
            <w:tcBorders>
              <w:start w:sz="4.0" w:val="single" w:color="#000000"/>
              <w:top w:sz="6.0" w:val="single" w:color="#FFFFFF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Services</w:t>
            </w:r>
          </w:p>
        </w:tc>
        <w:tc>
          <w:tcPr>
            <w:tcW w:type="dxa" w:w="2162"/>
            <w:tcBorders>
              <w:start w:sz="4.0" w:val="single" w:color="#000000"/>
              <w:top w:sz="6.0" w:val="single" w:color="#FFFFFF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One-time Fee</w:t>
            </w:r>
          </w:p>
        </w:tc>
      </w:tr>
    </w:tbl>
    <w:p>
      <w:pPr>
        <w:autoSpaceDN w:val="0"/>
        <w:autoSpaceDE w:val="0"/>
        <w:widowControl/>
        <w:spacing w:line="140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6.0" w:type="dxa"/>
      </w:tblPr>
      <w:tblGrid>
        <w:gridCol w:w="11534"/>
      </w:tblGrid>
      <w:tr>
        <w:trPr>
          <w:trHeight w:hRule="exact" w:val="584"/>
        </w:trPr>
        <w:tc>
          <w:tcPr>
            <w:tcW w:type="dxa" w:w="10808"/>
            <w:tcBorders>
              <w:top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44" w:val="left"/>
              </w:tabs>
              <w:autoSpaceDE w:val="0"/>
              <w:widowControl/>
              <w:spacing w:line="220" w:lineRule="exact" w:before="38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C00000"/>
                <w:sz w:val="16"/>
              </w:rPr>
              <w:t xml:space="preserve">www.incorp.asia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C00000"/>
                <w:sz w:val="16"/>
              </w:rPr>
              <w:t>Page 6 of 19</w:t>
            </w:r>
          </w:p>
          <w:p>
            <w:pPr>
              <w:autoSpaceDN w:val="0"/>
              <w:autoSpaceDE w:val="0"/>
              <w:widowControl/>
              <w:spacing w:line="192" w:lineRule="exact" w:before="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66666"/>
                <w:sz w:val="14"/>
              </w:rPr>
              <w:t>© In.Corp Global Pte Ltd. All Right Reserved.</w:t>
            </w:r>
          </w:p>
          <w:p>
            <w:pPr>
              <w:autoSpaceDN w:val="0"/>
              <w:autoSpaceDE w:val="0"/>
              <w:widowControl/>
              <w:spacing w:line="192" w:lineRule="exact" w:before="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999999"/>
                <w:sz w:val="14"/>
              </w:rPr>
              <w:t>This document is being furnished to you on a confidential basis and solely for your information.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696" w:bottom="166" w:left="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40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8580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6.0" w:type="dxa"/>
      </w:tblPr>
      <w:tblGrid>
        <w:gridCol w:w="5767"/>
        <w:gridCol w:w="5767"/>
      </w:tblGrid>
      <w:tr>
        <w:trPr>
          <w:trHeight w:hRule="exact" w:val="800"/>
        </w:trPr>
        <w:tc>
          <w:tcPr>
            <w:tcW w:type="dxa" w:w="8206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2" w:after="0"/>
              <w:ind w:left="36" w:right="2304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C00000"/>
                <w:sz w:val="20"/>
              </w:rPr>
              <w:t xml:space="preserve">FCGPR Filing with Reserve Bank of India 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Filing of Forms and declaration with RBI as required under FEMA</w:t>
            </w:r>
          </w:p>
        </w:tc>
        <w:tc>
          <w:tcPr>
            <w:tcW w:type="dxa" w:w="2162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11" w:lineRule="auto" w:before="296" w:after="0"/>
        <w:ind w:left="830" w:right="0" w:firstLine="0"/>
        <w:jc w:val="left"/>
      </w:pPr>
      <w:r>
        <w:rPr>
          <w:u w:val="single" w:color="001f60"/>
          <w:rFonts w:ascii="Microsoft Sans Serif" w:hAnsi="Microsoft Sans Serif" w:eastAsia="Microsoft Sans Serif"/>
          <w:b w:val="0"/>
          <w:i w:val="0"/>
          <w:color w:val="002060"/>
          <w:sz w:val="20"/>
        </w:rPr>
        <w:t>Note:</w:t>
      </w:r>
    </w:p>
    <w:p>
      <w:pPr>
        <w:autoSpaceDN w:val="0"/>
        <w:autoSpaceDE w:val="0"/>
        <w:widowControl/>
        <w:spacing w:line="211" w:lineRule="auto" w:before="52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• All fees quoted above exclude 18% GST.</w:t>
      </w:r>
    </w:p>
    <w:p>
      <w:pPr>
        <w:autoSpaceDN w:val="0"/>
        <w:autoSpaceDE w:val="0"/>
        <w:widowControl/>
        <w:spacing w:line="245" w:lineRule="auto" w:before="40" w:after="0"/>
        <w:ind w:left="830" w:right="144" w:firstLine="0"/>
        <w:jc w:val="both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• Professional fees exclude all out-of-pocket expenses like filing fees, courier expenses, apostilling &amp; notary cost to any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authorities/departments, statutory fees payable to Registrar of companies (ROC) towards incorporation etc. other than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those mentioned above.</w:t>
      </w:r>
    </w:p>
    <w:p>
      <w:pPr>
        <w:autoSpaceDN w:val="0"/>
        <w:autoSpaceDE w:val="0"/>
        <w:widowControl/>
        <w:spacing w:line="211" w:lineRule="auto" w:before="4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• Advance of 100% of the above selected option.</w:t>
      </w:r>
    </w:p>
    <w:p>
      <w:pPr>
        <w:autoSpaceDN w:val="0"/>
        <w:autoSpaceDE w:val="0"/>
        <w:widowControl/>
        <w:spacing w:line="245" w:lineRule="auto" w:before="40" w:after="0"/>
        <w:ind w:left="830" w:right="144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• On finalization of shareholding structure, we shall be able to guide on compliances needed for issuance of share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certificates and shall share a separate fee quote for the same.</w:t>
      </w:r>
    </w:p>
    <w:p>
      <w:pPr>
        <w:autoSpaceDN w:val="0"/>
        <w:autoSpaceDE w:val="0"/>
        <w:widowControl/>
        <w:spacing w:line="211" w:lineRule="auto" w:before="24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* Any other services not specifically quoted above and not specifically agreed separately shall be chargeable as under</w:t>
      </w:r>
    </w:p>
    <w:p>
      <w:pPr>
        <w:autoSpaceDN w:val="0"/>
        <w:autoSpaceDE w:val="0"/>
        <w:widowControl/>
        <w:spacing w:line="211" w:lineRule="auto" w:before="20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For Partner: USD 300 per Hour</w:t>
      </w:r>
    </w:p>
    <w:p>
      <w:pPr>
        <w:autoSpaceDN w:val="0"/>
        <w:autoSpaceDE w:val="0"/>
        <w:widowControl/>
        <w:spacing w:line="211" w:lineRule="auto" w:before="20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For Associates: USD 200 per Hour</w:t>
      </w:r>
    </w:p>
    <w:p>
      <w:pPr>
        <w:autoSpaceDN w:val="0"/>
        <w:autoSpaceDE w:val="0"/>
        <w:widowControl/>
        <w:spacing w:line="199" w:lineRule="auto" w:before="366" w:after="324"/>
        <w:ind w:left="830" w:right="0" w:firstLine="0"/>
        <w:jc w:val="left"/>
      </w:pPr>
      <w:r>
        <w:rPr>
          <w:rFonts w:ascii="Roboto" w:hAnsi="Roboto" w:eastAsia="Roboto"/>
          <w:b/>
          <w:i w:val="0"/>
          <w:color w:val="C00000"/>
          <w:sz w:val="20"/>
        </w:rPr>
        <w:t>Optional registrations required post incorporation (One-time)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6.0" w:type="dxa"/>
      </w:tblPr>
      <w:tblGrid>
        <w:gridCol w:w="5767"/>
        <w:gridCol w:w="5767"/>
      </w:tblGrid>
      <w:tr>
        <w:trPr>
          <w:trHeight w:hRule="exact" w:val="560"/>
        </w:trPr>
        <w:tc>
          <w:tcPr>
            <w:tcW w:type="dxa" w:w="8206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Services</w:t>
            </w:r>
          </w:p>
        </w:tc>
        <w:tc>
          <w:tcPr>
            <w:tcW w:type="dxa" w:w="2162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Fees (In USD)</w:t>
            </w:r>
          </w:p>
        </w:tc>
      </w:tr>
      <w:tr>
        <w:trPr>
          <w:trHeight w:hRule="exact" w:val="800"/>
        </w:trPr>
        <w:tc>
          <w:tcPr>
            <w:tcW w:type="dxa" w:w="8206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2" w:after="0"/>
              <w:ind w:left="36" w:right="144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C00000"/>
                <w:sz w:val="20"/>
              </w:rPr>
              <w:t xml:space="preserve">Filing of requisite forms with Registrar of Companies (ROC) with respect to beneficial </w:t>
            </w:r>
            <w:r>
              <w:rPr>
                <w:rFonts w:ascii="Roboto" w:hAnsi="Roboto" w:eastAsia="Roboto"/>
                <w:b/>
                <w:i w:val="0"/>
                <w:color w:val="C00000"/>
                <w:sz w:val="20"/>
              </w:rPr>
              <w:t>and nominee shareholding (via Form MGT 4, MGT 5, MGT 6)</w:t>
            </w:r>
          </w:p>
        </w:tc>
        <w:tc>
          <w:tcPr>
            <w:tcW w:type="dxa" w:w="2162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5" w:lineRule="auto" w:before="240" w:after="0"/>
        <w:ind w:left="830" w:right="216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C00000"/>
          <w:sz w:val="20"/>
        </w:rPr>
        <w:t xml:space="preserve">*For every new director's professional tax no., there shall be additional cost of $100 per director </w:t>
      </w:r>
      <w:r>
        <w:rPr>
          <w:rFonts w:ascii="Microsoft Sans Serif" w:hAnsi="Microsoft Sans Serif" w:eastAsia="Microsoft Sans Serif"/>
          <w:b w:val="0"/>
          <w:i w:val="0"/>
          <w:color w:val="C00000"/>
          <w:sz w:val="20"/>
        </w:rPr>
        <w:t>*Digital signature certificate (DSC) token can be obtained at a cost of USD 200 per applicant.</w:t>
      </w:r>
    </w:p>
    <w:p>
      <w:pPr>
        <w:autoSpaceDN w:val="0"/>
        <w:autoSpaceDE w:val="0"/>
        <w:widowControl/>
        <w:spacing w:line="211" w:lineRule="auto" w:before="400" w:after="0"/>
        <w:ind w:left="830" w:right="0" w:firstLine="0"/>
        <w:jc w:val="left"/>
      </w:pPr>
      <w:r>
        <w:rPr>
          <w:u w:val="single" w:color="001f60"/>
          <w:rFonts w:ascii="Microsoft Sans Serif" w:hAnsi="Microsoft Sans Serif" w:eastAsia="Microsoft Sans Serif"/>
          <w:b w:val="0"/>
          <w:i w:val="0"/>
          <w:color w:val="002060"/>
          <w:sz w:val="20"/>
        </w:rPr>
        <w:t>Note:</w:t>
      </w:r>
    </w:p>
    <w:p>
      <w:pPr>
        <w:autoSpaceDN w:val="0"/>
        <w:autoSpaceDE w:val="0"/>
        <w:widowControl/>
        <w:spacing w:line="211" w:lineRule="auto" w:before="28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• All fees quoted above exclude 18% GST.</w:t>
      </w:r>
    </w:p>
    <w:p>
      <w:pPr>
        <w:autoSpaceDN w:val="0"/>
        <w:autoSpaceDE w:val="0"/>
        <w:widowControl/>
        <w:spacing w:line="245" w:lineRule="auto" w:before="40" w:after="0"/>
        <w:ind w:left="830" w:right="144" w:firstLine="0"/>
        <w:jc w:val="both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• Professional fees exclude all out-of-pocket expenses like filing fees, courier expenses, apostilling &amp; notary cost to any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authorities/departments, statutory fees payable to Registrar of companies (ROC) towards incorporation etc. other than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those mentioned above.</w:t>
      </w:r>
    </w:p>
    <w:p>
      <w:pPr>
        <w:autoSpaceDN w:val="0"/>
        <w:autoSpaceDE w:val="0"/>
        <w:widowControl/>
        <w:spacing w:line="211" w:lineRule="auto" w:before="4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• Advance of 100% of the above selected option.</w:t>
      </w:r>
    </w:p>
    <w:p>
      <w:pPr>
        <w:autoSpaceDN w:val="0"/>
        <w:autoSpaceDE w:val="0"/>
        <w:widowControl/>
        <w:spacing w:line="211" w:lineRule="auto" w:before="24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*Any other services not specifically quoted above and not specifically agreed separately shall be chargeable as under</w:t>
      </w:r>
    </w:p>
    <w:p>
      <w:pPr>
        <w:autoSpaceDN w:val="0"/>
        <w:autoSpaceDE w:val="0"/>
        <w:widowControl/>
        <w:spacing w:line="211" w:lineRule="auto" w:before="20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For Partner: USD 300 per Hour</w:t>
      </w:r>
    </w:p>
    <w:p>
      <w:pPr>
        <w:autoSpaceDN w:val="0"/>
        <w:autoSpaceDE w:val="0"/>
        <w:widowControl/>
        <w:spacing w:line="211" w:lineRule="auto" w:before="20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For Associates: USD 200 per Hour</w:t>
      </w:r>
    </w:p>
    <w:p>
      <w:pPr>
        <w:autoSpaceDN w:val="0"/>
        <w:autoSpaceDE w:val="0"/>
        <w:widowControl/>
        <w:spacing w:line="199" w:lineRule="auto" w:before="286" w:after="350"/>
        <w:ind w:left="830" w:right="0" w:firstLine="0"/>
        <w:jc w:val="left"/>
      </w:pPr>
      <w:r>
        <w:rPr>
          <w:rFonts w:ascii="Roboto" w:hAnsi="Roboto" w:eastAsia="Roboto"/>
          <w:b/>
          <w:i w:val="0"/>
          <w:color w:val="C00000"/>
          <w:sz w:val="20"/>
        </w:rPr>
        <w:t>Nominee Director and Registered Office Address Service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6.0" w:type="dxa"/>
      </w:tblPr>
      <w:tblGrid>
        <w:gridCol w:w="5767"/>
        <w:gridCol w:w="5767"/>
      </w:tblGrid>
      <w:tr>
        <w:trPr>
          <w:trHeight w:hRule="exact" w:val="440"/>
        </w:trPr>
        <w:tc>
          <w:tcPr>
            <w:tcW w:type="dxa" w:w="8208"/>
            <w:tcBorders>
              <w:bottom w:sz="6.0" w:val="single" w:color="#000000"/>
            </w:tcBorders>
            <w:shd w:fill="fffb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Services</w:t>
            </w:r>
          </w:p>
        </w:tc>
        <w:tc>
          <w:tcPr>
            <w:tcW w:type="dxa" w:w="2160"/>
            <w:tcBorders>
              <w:bottom w:sz="6.0" w:val="single" w:color="#000000"/>
            </w:tcBorders>
            <w:shd w:fill="fffb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Monthly Fee(in USD)</w:t>
            </w:r>
          </w:p>
        </w:tc>
      </w:tr>
    </w:tbl>
    <w:p>
      <w:pPr>
        <w:autoSpaceDN w:val="0"/>
        <w:autoSpaceDE w:val="0"/>
        <w:widowControl/>
        <w:spacing w:line="8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6.0" w:type="dxa"/>
      </w:tblPr>
      <w:tblGrid>
        <w:gridCol w:w="11534"/>
      </w:tblGrid>
      <w:tr>
        <w:trPr>
          <w:trHeight w:hRule="exact" w:val="584"/>
        </w:trPr>
        <w:tc>
          <w:tcPr>
            <w:tcW w:type="dxa" w:w="10808"/>
            <w:tcBorders>
              <w:top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44" w:val="left"/>
              </w:tabs>
              <w:autoSpaceDE w:val="0"/>
              <w:widowControl/>
              <w:spacing w:line="220" w:lineRule="exact" w:before="38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C00000"/>
                <w:sz w:val="16"/>
              </w:rPr>
              <w:t xml:space="preserve">www.incorp.asia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C00000"/>
                <w:sz w:val="16"/>
              </w:rPr>
              <w:t>Page 7 of 19</w:t>
            </w:r>
          </w:p>
          <w:p>
            <w:pPr>
              <w:autoSpaceDN w:val="0"/>
              <w:autoSpaceDE w:val="0"/>
              <w:widowControl/>
              <w:spacing w:line="192" w:lineRule="exact" w:before="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66666"/>
                <w:sz w:val="14"/>
              </w:rPr>
              <w:t>© In.Corp Global Pte Ltd. All Right Reserved.</w:t>
            </w:r>
          </w:p>
          <w:p>
            <w:pPr>
              <w:autoSpaceDN w:val="0"/>
              <w:autoSpaceDE w:val="0"/>
              <w:widowControl/>
              <w:spacing w:line="192" w:lineRule="exact" w:before="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999999"/>
                <w:sz w:val="14"/>
              </w:rPr>
              <w:t>This document is being furnished to you on a confidential basis and solely for your information.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696" w:bottom="166" w:left="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40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8580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6.0" w:type="dxa"/>
      </w:tblPr>
      <w:tblGrid>
        <w:gridCol w:w="5767"/>
        <w:gridCol w:w="5767"/>
      </w:tblGrid>
      <w:tr>
        <w:trPr>
          <w:trHeight w:hRule="exact" w:val="3800"/>
        </w:trPr>
        <w:tc>
          <w:tcPr>
            <w:tcW w:type="dxa" w:w="8206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2" w:after="0"/>
              <w:ind w:left="36" w:right="144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C00000"/>
                <w:sz w:val="20"/>
              </w:rPr>
              <w:t xml:space="preserve">Nominee Director Service 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A refundable Security deposit per nominee @USD 5000 applies*. Refundable upon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cessation of Nominee Director Service</w:t>
            </w:r>
          </w:p>
          <w:p>
            <w:pPr>
              <w:autoSpaceDN w:val="0"/>
              <w:autoSpaceDE w:val="0"/>
              <w:widowControl/>
              <w:spacing w:line="245" w:lineRule="auto" w:before="280" w:after="0"/>
              <w:ind w:left="36" w:right="144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Director's fee for attending a physical or recorded or live board meeting @USD300 per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director per board meeting</w:t>
            </w:r>
          </w:p>
          <w:p>
            <w:pPr>
              <w:autoSpaceDN w:val="0"/>
              <w:autoSpaceDE w:val="0"/>
              <w:widowControl/>
              <w:spacing w:line="245" w:lineRule="auto" w:before="280" w:after="0"/>
              <w:ind w:left="36" w:right="154" w:firstLine="0"/>
              <w:jc w:val="both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Every nominee director needs to be protected under a director's indemnity policy. Premium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of indemnity bond to be charged on actual basis. InCorp shall enter into a separate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nominee directors' agreement at the time of engagement.</w:t>
            </w:r>
          </w:p>
          <w:p>
            <w:pPr>
              <w:autoSpaceDN w:val="0"/>
              <w:autoSpaceDE w:val="0"/>
              <w:widowControl/>
              <w:spacing w:line="245" w:lineRule="auto" w:before="280" w:after="0"/>
              <w:ind w:left="36" w:right="154" w:firstLine="0"/>
              <w:jc w:val="both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To ensure the removal of a nominee director from registrations ***with various authorities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where required, InCorp must be notified at least three months in advance. Additionally,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professional fees for this service will continue to be charged until the removal is reflected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by all relevant authorities as well as Bank &amp; new director is appointed in his place.</w:t>
            </w:r>
          </w:p>
        </w:tc>
        <w:tc>
          <w:tcPr>
            <w:tcW w:type="dxa" w:w="2162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5" w:lineRule="auto" w:before="36" w:after="0"/>
        <w:ind w:left="830" w:right="432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 xml:space="preserve">*Failure to engage InCorp's services for regular compliances of the company post the setup such as tax, secretarial, </w:t>
      </w: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 xml:space="preserve">FEMA etc. shall result in forfeiture of the security deposit received against nominee director and registered office </w:t>
      </w: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services.</w:t>
      </w:r>
    </w:p>
    <w:p>
      <w:pPr>
        <w:autoSpaceDN w:val="0"/>
        <w:autoSpaceDE w:val="0"/>
        <w:widowControl/>
        <w:spacing w:line="245" w:lineRule="auto" w:before="200" w:after="0"/>
        <w:ind w:left="830" w:right="288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 xml:space="preserve">**Any fees for rectification (or) completion of pending past compliances shall attract additional fees and we shall seek </w:t>
      </w: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your approval prior to commencement of that work.</w:t>
      </w:r>
    </w:p>
    <w:p>
      <w:pPr>
        <w:autoSpaceDN w:val="0"/>
        <w:autoSpaceDE w:val="0"/>
        <w:widowControl/>
        <w:spacing w:line="245" w:lineRule="auto" w:before="200" w:after="0"/>
        <w:ind w:left="830" w:right="432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 xml:space="preserve">*** The Nominee Director shall not sign any return, forms or documents relating to any statutory filing nor will be </w:t>
      </w: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 xml:space="preserve">appointed as the authorized signatory to any of the bank accounts of the entity or under GST, Income Tax any other </w:t>
      </w: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 xml:space="preserve">government portal. The Company may consider appointing one of its key managerial personnel as the authorised </w:t>
      </w: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signatory across all government portals</w:t>
      </w:r>
    </w:p>
    <w:p>
      <w:pPr>
        <w:autoSpaceDN w:val="0"/>
        <w:autoSpaceDE w:val="0"/>
        <w:widowControl/>
        <w:spacing w:line="211" w:lineRule="auto" w:before="200" w:after="0"/>
        <w:ind w:left="830" w:right="0" w:firstLine="0"/>
        <w:jc w:val="left"/>
      </w:pPr>
      <w:r>
        <w:rPr>
          <w:u w:val="single" w:color="001f60"/>
          <w:rFonts w:ascii="Microsoft Sans Serif" w:hAnsi="Microsoft Sans Serif" w:eastAsia="Microsoft Sans Serif"/>
          <w:b w:val="0"/>
          <w:i w:val="0"/>
          <w:color w:val="002060"/>
          <w:sz w:val="20"/>
        </w:rPr>
        <w:t>Note:</w:t>
      </w:r>
    </w:p>
    <w:p>
      <w:pPr>
        <w:autoSpaceDN w:val="0"/>
        <w:autoSpaceDE w:val="0"/>
        <w:widowControl/>
        <w:spacing w:line="211" w:lineRule="auto" w:before="28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• All fees quoted above exclude 18% GST.</w:t>
      </w:r>
    </w:p>
    <w:p>
      <w:pPr>
        <w:autoSpaceDN w:val="0"/>
        <w:autoSpaceDE w:val="0"/>
        <w:widowControl/>
        <w:spacing w:line="245" w:lineRule="auto" w:before="40" w:after="0"/>
        <w:ind w:left="830" w:right="144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• The Nominee Director will not be involved in day-to-day affairs / management of the Company. He/She shall not sign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any return, forms or documents relating to any statutory filing.</w:t>
      </w:r>
    </w:p>
    <w:p>
      <w:pPr>
        <w:autoSpaceDN w:val="0"/>
        <w:autoSpaceDE w:val="0"/>
        <w:widowControl/>
        <w:spacing w:line="245" w:lineRule="auto" w:before="40" w:after="0"/>
        <w:ind w:left="830" w:right="144" w:firstLine="0"/>
        <w:jc w:val="both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• The service of Registered office &amp; Nominee director is offered on discretionary basis only for temporary basis of 6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months. Such services are provided only in case of successful completion of Internal Customer Due diligence at InCorp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and formal engagement of Incorp for all the compliances (tax, secretarial, FEMA etc.) post incorporation of the company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for the regular maintenance of the company.</w:t>
      </w:r>
    </w:p>
    <w:p>
      <w:pPr>
        <w:autoSpaceDN w:val="0"/>
        <w:autoSpaceDE w:val="0"/>
        <w:widowControl/>
        <w:spacing w:line="245" w:lineRule="auto" w:before="40" w:after="0"/>
        <w:ind w:left="830" w:right="144" w:firstLine="0"/>
        <w:jc w:val="both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•Failure to engage InCorp's services for regular compliances of the company post the setup such as tax, secretarial,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FEMA etc. shall result in forfeiture of the security deposit received against registered office and nominee director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services.</w:t>
      </w:r>
    </w:p>
    <w:p>
      <w:pPr>
        <w:autoSpaceDN w:val="0"/>
        <w:autoSpaceDE w:val="0"/>
        <w:widowControl/>
        <w:spacing w:line="245" w:lineRule="auto" w:before="40" w:after="0"/>
        <w:ind w:left="830" w:right="144" w:firstLine="0"/>
        <w:jc w:val="both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•Professional fees exclude all out-of-pocket expenses like filing fees, courier expenses, apostilling &amp; notary cost to any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authorities/departments, statutory fees payable to Registrar of companies (ROC) towards incorporation etc. other than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those mentioned above.</w:t>
      </w:r>
    </w:p>
    <w:p>
      <w:pPr>
        <w:autoSpaceDN w:val="0"/>
        <w:autoSpaceDE w:val="0"/>
        <w:widowControl/>
        <w:spacing w:line="211" w:lineRule="auto" w:before="4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• Advance of 100% of the above selected option.</w:t>
      </w:r>
    </w:p>
    <w:p>
      <w:pPr>
        <w:autoSpaceDN w:val="0"/>
        <w:autoSpaceDE w:val="0"/>
        <w:widowControl/>
        <w:spacing w:line="211" w:lineRule="auto" w:before="24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* Any other services not specifically quoted above shall be chargeable as under:</w:t>
      </w:r>
    </w:p>
    <w:p>
      <w:pPr>
        <w:autoSpaceDN w:val="0"/>
        <w:autoSpaceDE w:val="0"/>
        <w:widowControl/>
        <w:spacing w:line="211" w:lineRule="auto" w:before="20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For Partner: USD 300 per Hour</w:t>
      </w:r>
    </w:p>
    <w:p>
      <w:pPr>
        <w:autoSpaceDN w:val="0"/>
        <w:autoSpaceDE w:val="0"/>
        <w:widowControl/>
        <w:spacing w:line="211" w:lineRule="auto" w:before="20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For Associates: USD 200 per Hour</w:t>
      </w:r>
    </w:p>
    <w:p>
      <w:pPr>
        <w:autoSpaceDN w:val="0"/>
        <w:autoSpaceDE w:val="0"/>
        <w:widowControl/>
        <w:spacing w:line="199" w:lineRule="auto" w:before="446" w:after="1122"/>
        <w:ind w:left="830" w:right="0" w:firstLine="0"/>
        <w:jc w:val="left"/>
      </w:pPr>
      <w:r>
        <w:rPr>
          <w:rFonts w:ascii="Roboto" w:hAnsi="Roboto" w:eastAsia="Roboto"/>
          <w:b/>
          <w:i w:val="0"/>
          <w:color w:val="C00000"/>
          <w:sz w:val="20"/>
        </w:rPr>
        <w:t>C. Accounting / Tax / Payroll / Annual Compliance Services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6.0" w:type="dxa"/>
      </w:tblPr>
      <w:tblGrid>
        <w:gridCol w:w="11534"/>
      </w:tblGrid>
      <w:tr>
        <w:trPr>
          <w:trHeight w:hRule="exact" w:val="584"/>
        </w:trPr>
        <w:tc>
          <w:tcPr>
            <w:tcW w:type="dxa" w:w="10808"/>
            <w:tcBorders>
              <w:top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44" w:val="left"/>
              </w:tabs>
              <w:autoSpaceDE w:val="0"/>
              <w:widowControl/>
              <w:spacing w:line="220" w:lineRule="exact" w:before="38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C00000"/>
                <w:sz w:val="16"/>
              </w:rPr>
              <w:t xml:space="preserve">www.incorp.asia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C00000"/>
                <w:sz w:val="16"/>
              </w:rPr>
              <w:t>Page 8 of 19</w:t>
            </w:r>
          </w:p>
          <w:p>
            <w:pPr>
              <w:autoSpaceDN w:val="0"/>
              <w:autoSpaceDE w:val="0"/>
              <w:widowControl/>
              <w:spacing w:line="192" w:lineRule="exact" w:before="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66666"/>
                <w:sz w:val="14"/>
              </w:rPr>
              <w:t>© In.Corp Global Pte Ltd. All Right Reserved.</w:t>
            </w:r>
          </w:p>
          <w:p>
            <w:pPr>
              <w:autoSpaceDN w:val="0"/>
              <w:autoSpaceDE w:val="0"/>
              <w:widowControl/>
              <w:spacing w:line="192" w:lineRule="exact" w:before="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999999"/>
                <w:sz w:val="14"/>
              </w:rPr>
              <w:t>This document is being furnished to you on a confidential basis and solely for your information.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696" w:bottom="166" w:left="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8580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5" w:lineRule="auto" w:before="452" w:after="190"/>
        <w:ind w:left="830" w:right="576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 xml:space="preserve">The below quotation is our base fees for first year of business with limited volume of transactions and may change </w:t>
      </w: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depending upon volume of work and nature of transactions: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6.0" w:type="dxa"/>
      </w:tblPr>
      <w:tblGrid>
        <w:gridCol w:w="2883"/>
        <w:gridCol w:w="2883"/>
        <w:gridCol w:w="2883"/>
        <w:gridCol w:w="2883"/>
      </w:tblGrid>
      <w:tr>
        <w:trPr>
          <w:trHeight w:hRule="exact" w:val="402"/>
        </w:trPr>
        <w:tc>
          <w:tcPr>
            <w:tcW w:type="dxa" w:w="1872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4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Services</w:t>
            </w:r>
          </w:p>
        </w:tc>
        <w:tc>
          <w:tcPr>
            <w:tcW w:type="dxa" w:w="1872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Frequency</w:t>
            </w:r>
          </w:p>
        </w:tc>
        <w:tc>
          <w:tcPr>
            <w:tcW w:type="dxa" w:w="4608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Notes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6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Fees (in USD)</w:t>
            </w:r>
          </w:p>
        </w:tc>
      </w:tr>
      <w:tr>
        <w:trPr>
          <w:trHeight w:hRule="exact" w:val="640"/>
        </w:trPr>
        <w:tc>
          <w:tcPr>
            <w:tcW w:type="dxa" w:w="1872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2" w:after="0"/>
              <w:ind w:left="116" w:right="576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C00000"/>
                <w:sz w:val="20"/>
              </w:rPr>
              <w:t xml:space="preserve">Direct tax </w:t>
            </w:r>
            <w:r>
              <w:br/>
            </w:r>
            <w:r>
              <w:rPr>
                <w:rFonts w:ascii="Roboto" w:hAnsi="Roboto" w:eastAsia="Roboto"/>
                <w:b/>
                <w:i w:val="0"/>
                <w:color w:val="C00000"/>
                <w:sz w:val="20"/>
              </w:rPr>
              <w:t>compliances</w:t>
            </w:r>
          </w:p>
        </w:tc>
        <w:tc>
          <w:tcPr>
            <w:tcW w:type="dxa" w:w="1872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Quarterly</w:t>
            </w:r>
          </w:p>
        </w:tc>
        <w:tc>
          <w:tcPr>
            <w:tcW w:type="dxa" w:w="4608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23" w:type="dxa"/>
            </w:tblPr>
            <w:tblGrid>
              <w:gridCol w:w="768"/>
              <w:gridCol w:w="768"/>
              <w:gridCol w:w="768"/>
              <w:gridCol w:w="768"/>
              <w:gridCol w:w="768"/>
              <w:gridCol w:w="768"/>
            </w:tblGrid>
            <w:tr>
              <w:trPr>
                <w:trHeight w:hRule="exact" w:val="280"/>
              </w:trPr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0" w:after="0"/>
                    <w:ind w:left="0" w:right="0" w:firstLine="0"/>
                    <w:jc w:val="center"/>
                  </w:pPr>
                  <w:r>
                    <w:rPr>
                      <w:rFonts w:ascii="Microsoft Sans Serif" w:hAnsi="Microsoft Sans Serif" w:eastAsia="Microsoft Sans Serif"/>
                      <w:b w:val="0"/>
                      <w:i w:val="0"/>
                      <w:color w:val="555555"/>
                      <w:sz w:val="20"/>
                    </w:rPr>
                    <w:t xml:space="preserve">1) 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0" w:after="0"/>
                    <w:ind w:left="0" w:right="0" w:firstLine="0"/>
                    <w:jc w:val="center"/>
                  </w:pPr>
                  <w:r>
                    <w:rPr>
                      <w:rFonts w:ascii="Microsoft Sans Serif" w:hAnsi="Microsoft Sans Serif" w:eastAsia="Microsoft Sans Serif"/>
                      <w:b w:val="0"/>
                      <w:i w:val="0"/>
                      <w:color w:val="555555"/>
                      <w:sz w:val="20"/>
                    </w:rPr>
                    <w:t xml:space="preserve">Advance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0" w:after="0"/>
                    <w:ind w:left="0" w:right="0" w:firstLine="0"/>
                    <w:jc w:val="center"/>
                  </w:pPr>
                  <w:r>
                    <w:rPr>
                      <w:rFonts w:ascii="Microsoft Sans Serif" w:hAnsi="Microsoft Sans Serif" w:eastAsia="Microsoft Sans Serif"/>
                      <w:b w:val="0"/>
                      <w:i w:val="0"/>
                      <w:color w:val="555555"/>
                      <w:sz w:val="20"/>
                    </w:rPr>
                    <w:t xml:space="preserve">tax </w:t>
                  </w: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0" w:after="0"/>
                    <w:ind w:left="0" w:right="0" w:firstLine="0"/>
                    <w:jc w:val="center"/>
                  </w:pPr>
                  <w:r>
                    <w:rPr>
                      <w:rFonts w:ascii="Microsoft Sans Serif" w:hAnsi="Microsoft Sans Serif" w:eastAsia="Microsoft Sans Serif"/>
                      <w:b w:val="0"/>
                      <w:i w:val="0"/>
                      <w:color w:val="555555"/>
                      <w:sz w:val="20"/>
                    </w:rPr>
                    <w:t xml:space="preserve">Compliances </w:t>
                  </w:r>
                </w:p>
              </w:tc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0" w:after="0"/>
                    <w:ind w:left="0" w:right="0" w:firstLine="0"/>
                    <w:jc w:val="center"/>
                  </w:pPr>
                  <w:r>
                    <w:rPr>
                      <w:rFonts w:ascii="Microsoft Sans Serif" w:hAnsi="Microsoft Sans Serif" w:eastAsia="Microsoft Sans Serif"/>
                      <w:b w:val="0"/>
                      <w:i w:val="0"/>
                      <w:color w:val="555555"/>
                      <w:sz w:val="20"/>
                    </w:rPr>
                    <w:t xml:space="preserve">• 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0" w:after="0"/>
                    <w:ind w:left="0" w:right="0" w:firstLine="0"/>
                    <w:jc w:val="center"/>
                  </w:pPr>
                  <w:r>
                    <w:rPr>
                      <w:rFonts w:ascii="Microsoft Sans Serif" w:hAnsi="Microsoft Sans Serif" w:eastAsia="Microsoft Sans Serif"/>
                      <w:b w:val="0"/>
                      <w:i w:val="0"/>
                      <w:color w:val="555555"/>
                      <w:sz w:val="20"/>
                    </w:rPr>
                    <w:t>Quarterly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1" w:lineRule="auto" w:before="20" w:after="0"/>
              <w:ind w:left="116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calculations and payment</w:t>
            </w:r>
          </w:p>
        </w:tc>
        <w:tc>
          <w:tcPr>
            <w:tcW w:type="dxa" w:w="2016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</w:t>
            </w:r>
          </w:p>
        </w:tc>
      </w:tr>
      <w:tr>
        <w:trPr>
          <w:trHeight w:hRule="exact" w:val="1600"/>
        </w:trPr>
        <w:tc>
          <w:tcPr>
            <w:tcW w:type="dxa" w:w="1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4" w:after="0"/>
              <w:ind w:left="116" w:right="576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C00000"/>
                <w:sz w:val="20"/>
              </w:rPr>
              <w:t xml:space="preserve">Indirect tax </w:t>
            </w:r>
            <w:r>
              <w:br/>
            </w:r>
            <w:r>
              <w:rPr>
                <w:rFonts w:ascii="Roboto" w:hAnsi="Roboto" w:eastAsia="Roboto"/>
                <w:b/>
                <w:i w:val="0"/>
                <w:color w:val="C00000"/>
                <w:sz w:val="20"/>
              </w:rPr>
              <w:t>compliances</w:t>
            </w:r>
          </w:p>
        </w:tc>
        <w:tc>
          <w:tcPr>
            <w:tcW w:type="dxa" w:w="1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Monthly and Annual</w:t>
            </w:r>
          </w:p>
        </w:tc>
        <w:tc>
          <w:tcPr>
            <w:tcW w:type="dxa" w:w="4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116" w:right="1296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1) GST Compliances:</w:t>
            </w:r>
            <w:r>
              <w:br/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• Calculations and payment of GST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• Filing of monthly GST Returns</w:t>
            </w:r>
          </w:p>
          <w:p>
            <w:pPr>
              <w:autoSpaceDN w:val="0"/>
              <w:autoSpaceDE w:val="0"/>
              <w:widowControl/>
              <w:spacing w:line="245" w:lineRule="auto" w:before="280" w:after="0"/>
              <w:ind w:left="116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(The above excludes Annual returns of GST and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revision of GST returns)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1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6" w:after="0"/>
              <w:ind w:left="116" w:right="0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C00000"/>
                <w:sz w:val="20"/>
              </w:rPr>
              <w:t xml:space="preserve">Foreign Exchange </w:t>
            </w:r>
            <w:r>
              <w:rPr>
                <w:rFonts w:ascii="Roboto" w:hAnsi="Roboto" w:eastAsia="Roboto"/>
                <w:b/>
                <w:i w:val="0"/>
                <w:color w:val="C00000"/>
                <w:sz w:val="20"/>
              </w:rPr>
              <w:t>laws</w:t>
            </w:r>
          </w:p>
        </w:tc>
        <w:tc>
          <w:tcPr>
            <w:tcW w:type="dxa" w:w="18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Annual</w:t>
            </w:r>
          </w:p>
        </w:tc>
        <w:tc>
          <w:tcPr>
            <w:tcW w:type="dxa" w:w="46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20" w:after="0"/>
              <w:ind w:left="116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Annual Filings with Reserve bank of India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</w:t>
            </w:r>
          </w:p>
        </w:tc>
      </w:tr>
      <w:tr>
        <w:trPr>
          <w:trHeight w:hRule="exact" w:val="400"/>
        </w:trPr>
        <w:tc>
          <w:tcPr>
            <w:tcW w:type="dxa" w:w="83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20" w:after="0"/>
              <w:ind w:left="116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000000"/>
                <w:sz w:val="20"/>
              </w:rPr>
              <w:t>Total costs (excluding one time costs)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 per annum</w:t>
            </w:r>
          </w:p>
        </w:tc>
      </w:tr>
      <w:tr>
        <w:trPr>
          <w:trHeight w:hRule="exact" w:val="400"/>
        </w:trPr>
        <w:tc>
          <w:tcPr>
            <w:tcW w:type="dxa" w:w="83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20" w:after="0"/>
              <w:ind w:left="116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000000"/>
                <w:sz w:val="20"/>
              </w:rPr>
              <w:t>One-time costs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0 one time</w:t>
            </w:r>
          </w:p>
        </w:tc>
      </w:tr>
    </w:tbl>
    <w:p>
      <w:pPr>
        <w:autoSpaceDN w:val="0"/>
        <w:autoSpaceDE w:val="0"/>
        <w:widowControl/>
        <w:spacing w:line="211" w:lineRule="auto" w:before="24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*The above quotation fee is for approx.20 transactions per month</w:t>
      </w:r>
    </w:p>
    <w:p>
      <w:pPr>
        <w:autoSpaceDN w:val="0"/>
        <w:autoSpaceDE w:val="0"/>
        <w:widowControl/>
        <w:spacing w:line="245" w:lineRule="auto" w:before="80" w:after="0"/>
        <w:ind w:left="830" w:right="144" w:firstLine="0"/>
        <w:jc w:val="both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InCorp's empanelled audit partners can offer the services of statutory audit (applicable to all), tax audit (applicable on if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Turnover exceeds Rs. 100 Mn) and GST audit services (If Turnover exceeds Rs. 50 Mn) and transfer pricing reporting &amp;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audit (applicable for companies having intercompany transactions). The quotes for the same can be provided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separately.</w:t>
      </w:r>
    </w:p>
    <w:p>
      <w:pPr>
        <w:autoSpaceDN w:val="0"/>
        <w:autoSpaceDE w:val="0"/>
        <w:widowControl/>
        <w:spacing w:line="245" w:lineRule="auto" w:before="280" w:after="0"/>
        <w:ind w:left="830" w:right="144" w:firstLine="0"/>
        <w:jc w:val="both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^Audit partner firms (Jayesh Sanghrajka &amp;Associates;, Manish Modi &amp;Associates;) shall be able to assist on that front.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The estimated statutory fee quote for the first FY shall be between USD 2500 TO USD 3500.The auditor shall be able to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provide the final fee quote closer to year end March 2025 depending on the nature and complexity of transactions.</w:t>
      </w:r>
    </w:p>
    <w:p>
      <w:pPr>
        <w:autoSpaceDN w:val="0"/>
        <w:autoSpaceDE w:val="0"/>
        <w:widowControl/>
        <w:spacing w:line="211" w:lineRule="auto" w:before="120" w:after="0"/>
        <w:ind w:left="830" w:right="0" w:firstLine="0"/>
        <w:jc w:val="left"/>
      </w:pPr>
      <w:r>
        <w:rPr>
          <w:u w:val="single" w:color="001f60"/>
          <w:rFonts w:ascii="Microsoft Sans Serif" w:hAnsi="Microsoft Sans Serif" w:eastAsia="Microsoft Sans Serif"/>
          <w:b w:val="0"/>
          <w:i w:val="0"/>
          <w:color w:val="002060"/>
          <w:sz w:val="20"/>
        </w:rPr>
        <w:t>Note:</w:t>
      </w:r>
    </w:p>
    <w:p>
      <w:pPr>
        <w:autoSpaceDN w:val="0"/>
        <w:autoSpaceDE w:val="0"/>
        <w:widowControl/>
        <w:spacing w:line="211" w:lineRule="auto" w:before="28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• All fees quoted above exclude 18% GST.</w:t>
      </w:r>
    </w:p>
    <w:p>
      <w:pPr>
        <w:autoSpaceDN w:val="0"/>
        <w:autoSpaceDE w:val="0"/>
        <w:widowControl/>
        <w:spacing w:line="211" w:lineRule="auto" w:before="4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• Professional fees exclude all out-of-pocket expenses like filing fees, courier expenses, government/statutory fees etc.</w:t>
      </w:r>
    </w:p>
    <w:p>
      <w:pPr>
        <w:autoSpaceDN w:val="0"/>
        <w:autoSpaceDE w:val="0"/>
        <w:widowControl/>
        <w:spacing w:line="211" w:lineRule="auto" w:before="4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• Advance of 100% of the above selected option</w:t>
      </w:r>
    </w:p>
    <w:p>
      <w:pPr>
        <w:autoSpaceDN w:val="0"/>
        <w:autoSpaceDE w:val="0"/>
        <w:widowControl/>
        <w:spacing w:line="211" w:lineRule="auto" w:before="24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* Any other services not specifically quoted above shall be chargeable as under:</w:t>
      </w:r>
    </w:p>
    <w:p>
      <w:pPr>
        <w:autoSpaceDN w:val="0"/>
        <w:autoSpaceDE w:val="0"/>
        <w:widowControl/>
        <w:spacing w:line="211" w:lineRule="auto" w:before="20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For Partner: USD 300 per Hour</w:t>
      </w:r>
    </w:p>
    <w:p>
      <w:pPr>
        <w:autoSpaceDN w:val="0"/>
        <w:autoSpaceDE w:val="0"/>
        <w:widowControl/>
        <w:spacing w:line="211" w:lineRule="auto" w:before="20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000000"/>
          <w:sz w:val="20"/>
        </w:rPr>
        <w:t>For Associates: USD 200 per Hour</w:t>
      </w:r>
    </w:p>
    <w:p>
      <w:pPr>
        <w:autoSpaceDN w:val="0"/>
        <w:autoSpaceDE w:val="0"/>
        <w:widowControl/>
        <w:spacing w:line="199" w:lineRule="auto" w:before="506" w:after="348"/>
        <w:ind w:left="830" w:right="0" w:firstLine="0"/>
        <w:jc w:val="left"/>
      </w:pPr>
      <w:r>
        <w:rPr>
          <w:rFonts w:ascii="Roboto" w:hAnsi="Roboto" w:eastAsia="Roboto"/>
          <w:b/>
          <w:i w:val="0"/>
          <w:color w:val="C00000"/>
          <w:sz w:val="20"/>
        </w:rPr>
        <w:t>D. Transfer Pricing compliances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6.0" w:type="dxa"/>
      </w:tblPr>
      <w:tblGrid>
        <w:gridCol w:w="2883"/>
        <w:gridCol w:w="2883"/>
        <w:gridCol w:w="2883"/>
        <w:gridCol w:w="2883"/>
      </w:tblGrid>
      <w:tr>
        <w:trPr>
          <w:trHeight w:hRule="exact" w:val="278"/>
        </w:trPr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86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50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FFFFF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6.0" w:val="single" w:color="#FFFFF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1"/>
        </w:trPr>
        <w:tc>
          <w:tcPr>
            <w:tcW w:type="dxa" w:w="2016"/>
            <w:tcBorders>
              <w:start w:sz="4.0" w:val="single" w:color="#000000"/>
              <w:top w:sz="6.0" w:val="single" w:color="#FFFFFF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Services</w:t>
            </w:r>
          </w:p>
        </w:tc>
        <w:tc>
          <w:tcPr>
            <w:tcW w:type="dxa" w:w="1586"/>
            <w:tcBorders>
              <w:start w:sz="4.0" w:val="single" w:color="#000000"/>
              <w:top w:sz="6.0" w:val="single" w:color="#FFFFFF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Frequency</w:t>
            </w:r>
          </w:p>
        </w:tc>
        <w:tc>
          <w:tcPr>
            <w:tcW w:type="dxa" w:w="4750"/>
            <w:tcBorders>
              <w:start w:sz="4.0" w:val="single" w:color="#000000"/>
              <w:top w:sz="6.0" w:val="single" w:color="#FFFFFF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5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Notes</w:t>
            </w:r>
          </w:p>
        </w:tc>
        <w:tc>
          <w:tcPr>
            <w:tcW w:type="dxa" w:w="2016"/>
            <w:tcBorders>
              <w:start w:sz="4.0" w:val="single" w:color="#000000"/>
              <w:top w:sz="6.0" w:val="single" w:color="#FFFFFF"/>
              <w:end w:sz="4.0" w:val="single" w:color="#000000"/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0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0"/>
              </w:rPr>
              <w:t>Fee (In USD)</w:t>
            </w:r>
          </w:p>
        </w:tc>
      </w:tr>
    </w:tbl>
    <w:p>
      <w:pPr>
        <w:autoSpaceDN w:val="0"/>
        <w:autoSpaceDE w:val="0"/>
        <w:widowControl/>
        <w:spacing w:line="17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6.0" w:type="dxa"/>
      </w:tblPr>
      <w:tblGrid>
        <w:gridCol w:w="11534"/>
      </w:tblGrid>
      <w:tr>
        <w:trPr>
          <w:trHeight w:hRule="exact" w:val="584"/>
        </w:trPr>
        <w:tc>
          <w:tcPr>
            <w:tcW w:type="dxa" w:w="10808"/>
            <w:tcBorders>
              <w:top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44" w:val="left"/>
              </w:tabs>
              <w:autoSpaceDE w:val="0"/>
              <w:widowControl/>
              <w:spacing w:line="220" w:lineRule="exact" w:before="38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C00000"/>
                <w:sz w:val="16"/>
              </w:rPr>
              <w:t xml:space="preserve">www.incorp.asia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C00000"/>
                <w:sz w:val="16"/>
              </w:rPr>
              <w:t>Page 9 of 19</w:t>
            </w:r>
          </w:p>
          <w:p>
            <w:pPr>
              <w:autoSpaceDN w:val="0"/>
              <w:autoSpaceDE w:val="0"/>
              <w:widowControl/>
              <w:spacing w:line="192" w:lineRule="exact" w:before="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66666"/>
                <w:sz w:val="14"/>
              </w:rPr>
              <w:t>© In.Corp Global Pte Ltd. All Right Reserved.</w:t>
            </w:r>
          </w:p>
          <w:p>
            <w:pPr>
              <w:autoSpaceDN w:val="0"/>
              <w:autoSpaceDE w:val="0"/>
              <w:widowControl/>
              <w:spacing w:line="192" w:lineRule="exact" w:before="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999999"/>
                <w:sz w:val="14"/>
              </w:rPr>
              <w:t>This document is being furnished to you on a confidential basis and solely for your information.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696" w:bottom="166" w:left="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40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85800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26.0" w:type="dxa"/>
      </w:tblPr>
      <w:tblGrid>
        <w:gridCol w:w="2883"/>
        <w:gridCol w:w="2883"/>
        <w:gridCol w:w="2883"/>
        <w:gridCol w:w="2883"/>
      </w:tblGrid>
      <w:tr>
        <w:trPr>
          <w:trHeight w:hRule="exact" w:val="2480"/>
        </w:trPr>
        <w:tc>
          <w:tcPr>
            <w:tcW w:type="dxa" w:w="2016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2" w:after="0"/>
              <w:ind w:left="36" w:right="576" w:firstLine="0"/>
              <w:jc w:val="left"/>
            </w:pPr>
            <w:r>
              <w:rPr>
                <w:rFonts w:ascii="Roboto" w:hAnsi="Roboto" w:eastAsia="Roboto"/>
                <w:b/>
                <w:i w:val="0"/>
                <w:color w:val="C00000"/>
                <w:sz w:val="20"/>
              </w:rPr>
              <w:t xml:space="preserve">Inter-company </w:t>
            </w:r>
            <w:r>
              <w:rPr>
                <w:rFonts w:ascii="Roboto" w:hAnsi="Roboto" w:eastAsia="Roboto"/>
                <w:b/>
                <w:i w:val="0"/>
                <w:color w:val="C00000"/>
                <w:sz w:val="20"/>
              </w:rPr>
              <w:t>agreement</w:t>
            </w:r>
          </w:p>
        </w:tc>
        <w:tc>
          <w:tcPr>
            <w:tcW w:type="dxa" w:w="1586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0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One-time</w:t>
            </w:r>
          </w:p>
        </w:tc>
        <w:tc>
          <w:tcPr>
            <w:tcW w:type="dxa" w:w="4750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96" w:after="20"/>
              <w:ind w:left="0" w:right="0" w:firstLine="0"/>
              <w:jc w:val="center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Drafting and finalizing of Inter-company service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23" w:type="dxa"/>
            </w:tblPr>
            <w:tblGrid>
              <w:gridCol w:w="950"/>
              <w:gridCol w:w="950"/>
              <w:gridCol w:w="950"/>
              <w:gridCol w:w="950"/>
              <w:gridCol w:w="950"/>
            </w:tblGrid>
            <w:tr>
              <w:trPr>
                <w:trHeight w:hRule="exact" w:val="240"/>
              </w:trPr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0" w:right="0" w:firstLine="0"/>
                    <w:jc w:val="center"/>
                  </w:pPr>
                  <w:r>
                    <w:rPr>
                      <w:rFonts w:ascii="Microsoft Sans Serif" w:hAnsi="Microsoft Sans Serif" w:eastAsia="Microsoft Sans Serif"/>
                      <w:b w:val="0"/>
                      <w:i w:val="0"/>
                      <w:color w:val="555555"/>
                      <w:sz w:val="20"/>
                    </w:rPr>
                    <w:t xml:space="preserve">agreement 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0" w:right="0" w:firstLine="0"/>
                    <w:jc w:val="center"/>
                  </w:pPr>
                  <w:r>
                    <w:rPr>
                      <w:rFonts w:ascii="Microsoft Sans Serif" w:hAnsi="Microsoft Sans Serif" w:eastAsia="Microsoft Sans Serif"/>
                      <w:b w:val="0"/>
                      <w:i w:val="0"/>
                      <w:color w:val="555555"/>
                      <w:sz w:val="20"/>
                    </w:rPr>
                    <w:t xml:space="preserve">covering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0" w:right="0" w:firstLine="0"/>
                    <w:jc w:val="center"/>
                  </w:pPr>
                  <w:r>
                    <w:rPr>
                      <w:rFonts w:ascii="Microsoft Sans Serif" w:hAnsi="Microsoft Sans Serif" w:eastAsia="Microsoft Sans Serif"/>
                      <w:b w:val="0"/>
                      <w:i w:val="0"/>
                      <w:color w:val="555555"/>
                      <w:sz w:val="20"/>
                    </w:rPr>
                    <w:t xml:space="preserve">detailed 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0" w:right="0" w:firstLine="0"/>
                    <w:jc w:val="center"/>
                  </w:pPr>
                  <w:r>
                    <w:rPr>
                      <w:rFonts w:ascii="Microsoft Sans Serif" w:hAnsi="Microsoft Sans Serif" w:eastAsia="Microsoft Sans Serif"/>
                      <w:b w:val="0"/>
                      <w:i w:val="0"/>
                      <w:color w:val="555555"/>
                      <w:sz w:val="20"/>
                    </w:rPr>
                    <w:t xml:space="preserve">description 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0" w:right="0" w:firstLine="0"/>
                    <w:jc w:val="center"/>
                  </w:pPr>
                  <w:r>
                    <w:rPr>
                      <w:rFonts w:ascii="Microsoft Sans Serif" w:hAnsi="Microsoft Sans Serif" w:eastAsia="Microsoft Sans Serif"/>
                      <w:b w:val="0"/>
                      <w:i w:val="0"/>
                      <w:color w:val="555555"/>
                      <w:sz w:val="20"/>
                    </w:rPr>
                    <w:t>of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0" w:after="20"/>
              <w:ind w:left="152" w:right="154" w:firstLine="0"/>
              <w:jc w:val="both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service to be provided, components to be included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while calculating cost of services, Invoicing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period, Receivable cycle, withholding, ownership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rights, effective date of agreement, indemnity etc.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6.00000000000023" w:type="dxa"/>
            </w:tblPr>
            <w:tblGrid>
              <w:gridCol w:w="792"/>
              <w:gridCol w:w="792"/>
              <w:gridCol w:w="792"/>
              <w:gridCol w:w="792"/>
              <w:gridCol w:w="792"/>
              <w:gridCol w:w="792"/>
            </w:tblGrid>
            <w:tr>
              <w:trPr>
                <w:trHeight w:hRule="exact" w:val="240"/>
              </w:trPr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0" w:right="0" w:firstLine="0"/>
                    <w:jc w:val="center"/>
                  </w:pPr>
                  <w:r>
                    <w:rPr>
                      <w:rFonts w:ascii="Microsoft Sans Serif" w:hAnsi="Microsoft Sans Serif" w:eastAsia="Microsoft Sans Serif"/>
                      <w:b w:val="0"/>
                      <w:i w:val="0"/>
                      <w:color w:val="555555"/>
                      <w:sz w:val="20"/>
                    </w:rPr>
                    <w:t xml:space="preserve">in 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0" w:right="0" w:firstLine="0"/>
                    <w:jc w:val="center"/>
                  </w:pPr>
                  <w:r>
                    <w:rPr>
                      <w:rFonts w:ascii="Microsoft Sans Serif" w:hAnsi="Microsoft Sans Serif" w:eastAsia="Microsoft Sans Serif"/>
                      <w:b w:val="0"/>
                      <w:i w:val="0"/>
                      <w:color w:val="555555"/>
                      <w:sz w:val="20"/>
                    </w:rPr>
                    <w:t xml:space="preserve">compliance </w:t>
                  </w:r>
                </w:p>
              </w:tc>
              <w:tc>
                <w:tcPr>
                  <w:tcW w:type="dxa" w:w="6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0" w:right="0" w:firstLine="0"/>
                    <w:jc w:val="center"/>
                  </w:pPr>
                  <w:r>
                    <w:rPr>
                      <w:rFonts w:ascii="Microsoft Sans Serif" w:hAnsi="Microsoft Sans Serif" w:eastAsia="Microsoft Sans Serif"/>
                      <w:b w:val="0"/>
                      <w:i w:val="0"/>
                      <w:color w:val="555555"/>
                      <w:sz w:val="20"/>
                    </w:rPr>
                    <w:t xml:space="preserve">with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0" w:right="0" w:firstLine="0"/>
                    <w:jc w:val="center"/>
                  </w:pPr>
                  <w:r>
                    <w:rPr>
                      <w:rFonts w:ascii="Microsoft Sans Serif" w:hAnsi="Microsoft Sans Serif" w:eastAsia="Microsoft Sans Serif"/>
                      <w:b w:val="0"/>
                      <w:i w:val="0"/>
                      <w:color w:val="555555"/>
                      <w:sz w:val="20"/>
                    </w:rPr>
                    <w:t xml:space="preserve">the 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0" w:right="0" w:firstLine="0"/>
                    <w:jc w:val="center"/>
                  </w:pPr>
                  <w:r>
                    <w:rPr>
                      <w:rFonts w:ascii="Microsoft Sans Serif" w:hAnsi="Microsoft Sans Serif" w:eastAsia="Microsoft Sans Serif"/>
                      <w:b w:val="0"/>
                      <w:i w:val="0"/>
                      <w:color w:val="555555"/>
                      <w:sz w:val="20"/>
                    </w:rPr>
                    <w:t xml:space="preserve">Transfer 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0" w:right="0" w:firstLine="0"/>
                    <w:jc w:val="center"/>
                  </w:pPr>
                  <w:r>
                    <w:rPr>
                      <w:rFonts w:ascii="Microsoft Sans Serif" w:hAnsi="Microsoft Sans Serif" w:eastAsia="Microsoft Sans Serif"/>
                      <w:b w:val="0"/>
                      <w:i w:val="0"/>
                      <w:color w:val="555555"/>
                      <w:sz w:val="20"/>
                    </w:rPr>
                    <w:t>Pricing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0" w:after="0"/>
              <w:ind w:left="152" w:right="144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 xml:space="preserve">regulations defined under Income tax laws and </w:t>
            </w:r>
            <w:r>
              <w:rPr>
                <w:rFonts w:ascii="Microsoft Sans Serif" w:hAnsi="Microsoft Sans Serif" w:eastAsia="Microsoft Sans Serif"/>
                <w:b w:val="0"/>
                <w:i w:val="0"/>
                <w:color w:val="555555"/>
                <w:sz w:val="20"/>
              </w:rPr>
              <w:t>other applicable Indian laws</w:t>
            </w:r>
          </w:p>
        </w:tc>
        <w:tc>
          <w:tcPr>
            <w:tcW w:type="dxa" w:w="2016"/>
            <w:tcBorders>
              <w:start w:sz="4.0" w:val="single" w:color="#000000"/>
              <w:top w:sz="6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0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560"/>
        </w:trPr>
        <w:tc>
          <w:tcPr>
            <w:tcW w:type="dxa" w:w="83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98" w:after="0"/>
              <w:ind w:left="36" w:right="0" w:firstLine="0"/>
              <w:jc w:val="left"/>
            </w:pPr>
            <w:r>
              <w:rPr>
                <w:rFonts w:ascii="Microsoft Sans Serif" w:hAnsi="Microsoft Sans Serif" w:eastAsia="Microsoft Sans Serif"/>
                <w:b w:val="0"/>
                <w:i w:val="0"/>
                <w:color w:val="000000"/>
                <w:sz w:val="20"/>
              </w:rPr>
              <w:t>Total one-time costs</w:t>
            </w:r>
          </w:p>
        </w:tc>
        <w:tc>
          <w:tcPr>
            <w:tcW w:type="dxa" w:w="20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2" w:after="0"/>
              <w:ind w:left="1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45" w:lineRule="auto" w:before="236" w:after="0"/>
        <w:ind w:left="830" w:right="144" w:firstLine="0"/>
        <w:jc w:val="both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*Please note that the above benchmarking report will not be transfer pricing documentation as required to be maintained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under transfer pricing regulations. InCorp's empanelled audit partners can assist with the transfer pricing reporting &amp;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audit (applicable for companies having intercompany transactions). The quotes for the same can be provided separately</w:t>
      </w:r>
    </w:p>
    <w:p>
      <w:pPr>
        <w:autoSpaceDN w:val="0"/>
        <w:autoSpaceDE w:val="0"/>
        <w:widowControl/>
        <w:spacing w:line="211" w:lineRule="auto" w:before="240" w:after="0"/>
        <w:ind w:left="830" w:right="0" w:firstLine="0"/>
        <w:jc w:val="left"/>
      </w:pPr>
      <w:r>
        <w:rPr>
          <w:u w:val="single" w:color="001f60"/>
          <w:rFonts w:ascii="Microsoft Sans Serif" w:hAnsi="Microsoft Sans Serif" w:eastAsia="Microsoft Sans Serif"/>
          <w:b w:val="0"/>
          <w:i w:val="0"/>
          <w:color w:val="002060"/>
          <w:sz w:val="20"/>
        </w:rPr>
        <w:t>Note:</w:t>
      </w:r>
    </w:p>
    <w:p>
      <w:pPr>
        <w:autoSpaceDN w:val="0"/>
        <w:autoSpaceDE w:val="0"/>
        <w:widowControl/>
        <w:spacing w:line="211" w:lineRule="auto" w:before="28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• All fees quoted above exclude 18% GST.</w:t>
      </w:r>
    </w:p>
    <w:p>
      <w:pPr>
        <w:autoSpaceDN w:val="0"/>
        <w:autoSpaceDE w:val="0"/>
        <w:widowControl/>
        <w:spacing w:line="211" w:lineRule="auto" w:before="4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• Professional fees exclude all out-of-pocket expenses.</w:t>
      </w:r>
    </w:p>
    <w:p>
      <w:pPr>
        <w:autoSpaceDN w:val="0"/>
        <w:autoSpaceDE w:val="0"/>
        <w:widowControl/>
        <w:spacing w:line="245" w:lineRule="auto" w:before="40" w:after="0"/>
        <w:ind w:left="830" w:right="144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• Advance of 100% of the above selected option. • * Any other services not specifically quoted above shall be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chargeable as under:</w:t>
      </w:r>
    </w:p>
    <w:p>
      <w:pPr>
        <w:autoSpaceDN w:val="0"/>
        <w:autoSpaceDE w:val="0"/>
        <w:widowControl/>
        <w:spacing w:line="211" w:lineRule="auto" w:before="28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For Partner: USD 300 per Hour</w:t>
      </w:r>
    </w:p>
    <w:p>
      <w:pPr>
        <w:autoSpaceDN w:val="0"/>
        <w:autoSpaceDE w:val="0"/>
        <w:widowControl/>
        <w:spacing w:line="211" w:lineRule="auto" w:before="280" w:after="0"/>
        <w:ind w:left="830" w:right="0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For Associates: USD 200 per Hour</w:t>
      </w:r>
    </w:p>
    <w:p>
      <w:pPr>
        <w:autoSpaceDN w:val="0"/>
        <w:autoSpaceDE w:val="0"/>
        <w:widowControl/>
        <w:spacing w:line="245" w:lineRule="auto" w:before="160" w:after="5888"/>
        <w:ind w:left="830" w:right="144" w:firstLine="0"/>
        <w:jc w:val="left"/>
      </w:pP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 xml:space="preserve">^ InCorp's empanelled audit partners can assist with the transfer pricing reporting &amp; audit (applicable for companies </w:t>
      </w:r>
      <w:r>
        <w:rPr>
          <w:rFonts w:ascii="Microsoft Sans Serif" w:hAnsi="Microsoft Sans Serif" w:eastAsia="Microsoft Sans Serif"/>
          <w:b w:val="0"/>
          <w:i w:val="0"/>
          <w:color w:val="555555"/>
          <w:sz w:val="20"/>
        </w:rPr>
        <w:t>having intercompany transactions). The quotes for the same can be provided separately.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6.0" w:type="dxa"/>
      </w:tblPr>
      <w:tblGrid>
        <w:gridCol w:w="11534"/>
      </w:tblGrid>
      <w:tr>
        <w:trPr>
          <w:trHeight w:hRule="exact" w:val="584"/>
        </w:trPr>
        <w:tc>
          <w:tcPr>
            <w:tcW w:type="dxa" w:w="10808"/>
            <w:tcBorders>
              <w:top w:sz="4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6" w:val="left"/>
              </w:tabs>
              <w:autoSpaceDE w:val="0"/>
              <w:widowControl/>
              <w:spacing w:line="220" w:lineRule="exact" w:before="38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C00000"/>
                <w:sz w:val="16"/>
              </w:rPr>
              <w:t xml:space="preserve">www.incorp.asia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C00000"/>
                <w:sz w:val="16"/>
              </w:rPr>
              <w:t>Page 10 of 19</w:t>
            </w:r>
          </w:p>
          <w:p>
            <w:pPr>
              <w:autoSpaceDN w:val="0"/>
              <w:autoSpaceDE w:val="0"/>
              <w:widowControl/>
              <w:spacing w:line="192" w:lineRule="exact" w:before="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666666"/>
                <w:sz w:val="14"/>
              </w:rPr>
              <w:t>© In.Corp Global Pte Ltd. All Right Reserved.</w:t>
            </w:r>
          </w:p>
          <w:p>
            <w:pPr>
              <w:autoSpaceDN w:val="0"/>
              <w:autoSpaceDE w:val="0"/>
              <w:widowControl/>
              <w:spacing w:line="192" w:lineRule="exact" w:before="0" w:after="0"/>
              <w:ind w:left="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999999"/>
                <w:sz w:val="14"/>
              </w:rPr>
              <w:t>This document is being furnished to you on a confidential basis and solely for your information.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696" w:bottom="166" w:left="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