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VADLAKONDA ENTERPRICES</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Venkatesh Vadlakonda</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Vadlakonda Enterprices</w:t>
      </w:r>
    </w:p>
    <w:p>
      <w:pPr>
        <w:spacing w:before="0" w:after="40" w:line="240" w:lineRule="auto"/>
        <w:ind w:left="0"/>
        <w:contextualSpacing w:val="0"/>
      </w:pPr>
      <w:r>
        <w:rPr>
          <w:rFonts w:ascii="Roboto" w:hAnsi="Roboto"/>
          <w:sz w:val="22"/>
          <w:szCs w:val="22"/>
        </w:rPr>
        <w:t xml:space="preserve">Vadlakonda Nivas, Prabhadevi</w:t>
      </w:r>
    </w:p>
    <w:p>
      <w:pPr>
        <w:spacing w:before="0" w:after="40" w:line="240" w:lineRule="auto"/>
        <w:ind w:left="0"/>
        <w:contextualSpacing w:val="0"/>
      </w:pPr>
      <w:r>
        <w:rPr>
          <w:rFonts w:ascii="Roboto" w:hAnsi="Roboto"/>
          <w:sz w:val="22"/>
          <w:szCs w:val="22"/>
        </w:rPr>
        <w:t xml:space="preserve">Mumbai</w:t>
      </w:r>
    </w:p>
    <w:p>
      <w:pPr>
        <w:spacing w:before="0" w:after="40" w:line="240" w:lineRule="auto"/>
        <w:ind w:left="0"/>
        <w:contextualSpacing w:val="0"/>
      </w:pPr>
      <w:r>
        <w:rPr>
          <w:rFonts w:ascii="Roboto" w:hAnsi="Roboto"/>
          <w:sz w:val="22"/>
          <w:szCs w:val="22"/>
        </w:rPr>
        <w:t xml:space="preserve">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Venkatesh,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numPr>
          <w:ilvl w:val="0"/>
          <w:numId w:val="99"/>
        </w:numPr>
        <w:spacing w:before="0" w:after="60" w:line="240" w:lineRule="auto"/>
        <w:contextualSpacing w:val="0"/>
      </w:pPr>
      <w:r>
        <w:rPr>
          <w:rFonts w:ascii="Roboto" w:hAnsi="Roboto"/>
          <w:sz w:val="22"/>
          <w:szCs w:val="22"/>
          <w:color w:val="444444"/>
        </w:rPr>
        <w:t xml:space="preserve">Audit partner firms (Jayesh Sanghrajka &amp; Associates, Manish Modi &amp; Associates) shall be able to assist on that front. The estimated statutory fee quote for</w:t>
      </w:r>
    </w:p>
    <w:p>
      <w:pPr>
        <w:numPr>
          <w:ilvl w:val="0"/>
          <w:numId w:val="99"/>
        </w:numPr>
        <w:spacing w:before="0" w:after="60" w:line="240" w:lineRule="auto"/>
        <w:contextualSpacing w:val="0"/>
      </w:pPr>
      <w:r>
        <w:rPr>
          <w:rFonts w:ascii="Roboto" w:hAnsi="Roboto"/>
          <w:sz w:val="22"/>
          <w:szCs w:val="22"/>
          <w:color w:val="444444"/>
        </w:rPr>
        <w:t xml:space="preserve">Audit partner firms (Jayesh Sanghrajka &amp; Associates, Manish Modi &amp; Associates) shall be able to assist on that front. The estimated statutory fee quote for</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ongoing charges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1234,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numPr>
                <w:ilvl w:val="0"/>
                <w:numId w:val="99"/>
              </w:numPr>
              <w:spacing w:before="0" w:after="60" w:line="240" w:lineRule="auto"/>
              <w:contextualSpacing w:val="0"/>
            </w:pPr>
            <w:r>
              <w:rPr>
                <w:rFonts w:ascii="Roboto" w:hAnsi="Roboto"/>
                <w:sz w:val="20"/>
                <w:szCs w:val="20"/>
                <w:color w:val="777777"/>
              </w:rPr>
              <w:t xml:space="preserve">GST laws/regulations</w:t>
            </w:r>
          </w:p>
          <w:p>
            <w:pPr>
              <w:numPr>
                <w:ilvl w:val="0"/>
                <w:numId w:val="99"/>
              </w:numPr>
              <w:spacing w:before="0" w:after="60" w:line="240" w:lineRule="auto"/>
              <w:contextualSpacing w:val="0"/>
            </w:pPr>
            <w:r>
              <w:rPr>
                <w:rFonts w:ascii="Roboto" w:hAnsi="Roboto"/>
                <w:sz w:val="20"/>
                <w:szCs w:val="20"/>
                <w:color w:val="777777"/>
              </w:rPr>
              <w:t xml:space="preserve">Income Tax Act, 1961</w:t>
            </w:r>
          </w:p>
          <w:p>
            <w:pPr>
              <w:numPr>
                <w:ilvl w:val="0"/>
                <w:numId w:val="99"/>
              </w:numPr>
              <w:spacing w:before="0" w:after="60" w:line="240" w:lineRule="auto"/>
              <w:contextualSpacing w:val="0"/>
            </w:pPr>
            <w:r>
              <w:rPr>
                <w:rFonts w:ascii="Roboto" w:hAnsi="Roboto"/>
                <w:sz w:val="20"/>
                <w:szCs w:val="20"/>
                <w:color w:val="777777"/>
              </w:rPr>
              <w:t xml:space="preserve">Company’s Act, 2013</w:t>
            </w:r>
          </w:p>
          <w:p>
            <w:pPr>
              <w:numPr>
                <w:ilvl w:val="0"/>
                <w:numId w:val="99"/>
              </w:numPr>
              <w:spacing w:before="0" w:after="60" w:line="240" w:lineRule="auto"/>
              <w:contextualSpacing w:val="0"/>
            </w:pPr>
            <w:r>
              <w:rPr>
                <w:rFonts w:ascii="Roboto" w:hAnsi="Roboto"/>
                <w:sz w:val="20"/>
                <w:szCs w:val="20"/>
                <w:color w:val="777777"/>
              </w:rPr>
              <w:t xml:space="preserve">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numPr>
                <w:ilvl w:val="0"/>
                <w:numId w:val="99"/>
              </w:numPr>
              <w:spacing w:before="0" w:after="60" w:line="240" w:lineRule="auto"/>
              <w:contextualSpacing w:val="0"/>
            </w:pPr>
            <w:r>
              <w:rPr>
                <w:rFonts w:ascii="Roboto" w:hAnsi="Roboto"/>
                <w:sz w:val="20"/>
                <w:szCs w:val="20"/>
                <w:color w:val="777777"/>
              </w:rPr>
              <w:t xml:space="preserve">Company’s Act, 2013</w:t>
            </w:r>
          </w:p>
          <w:p>
            <w:pPr>
              <w:numPr>
                <w:ilvl w:val="0"/>
                <w:numId w:val="99"/>
              </w:numPr>
              <w:spacing w:before="0" w:after="60" w:line="240" w:lineRule="auto"/>
              <w:contextualSpacing w:val="0"/>
            </w:pPr>
            <w:r>
              <w:rPr>
                <w:rFonts w:ascii="Roboto" w:hAnsi="Roboto"/>
                <w:sz w:val="20"/>
                <w:szCs w:val="20"/>
                <w:color w:val="777777"/>
              </w:rPr>
              <w:t xml:space="preserve">Income Tax Act, 1961</w:t>
            </w:r>
          </w:p>
          <w:p>
            <w:pPr>
              <w:numPr>
                <w:ilvl w:val="0"/>
                <w:numId w:val="99"/>
              </w:numPr>
              <w:spacing w:before="0" w:after="60" w:line="240" w:lineRule="auto"/>
              <w:contextualSpacing w:val="0"/>
            </w:pPr>
            <w:r>
              <w:rPr>
                <w:rFonts w:ascii="Roboto" w:hAnsi="Roboto"/>
                <w:sz w:val="20"/>
                <w:szCs w:val="20"/>
                <w:color w:val="777777"/>
              </w:rPr>
              <w:t xml:space="preserve">Goods and Service Tax Act, 2017</w:t>
            </w:r>
          </w:p>
          <w:p>
            <w:pPr>
              <w:numPr>
                <w:ilvl w:val="0"/>
                <w:numId w:val="99"/>
              </w:numPr>
              <w:spacing w:before="0" w:after="60" w:line="240" w:lineRule="auto"/>
              <w:contextualSpacing w:val="0"/>
            </w:pPr>
            <w:r>
              <w:rPr>
                <w:rFonts w:ascii="Roboto" w:hAnsi="Roboto"/>
                <w:sz w:val="20"/>
                <w:szCs w:val="20"/>
                <w:color w:val="777777"/>
              </w:rPr>
              <w:t xml:space="preserve">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any fees towards regularisation of past non compliances.</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abstractNum w:abstractNumId="99">
    <w:multiLevelType w:val="hybridMultilevel"/>
    <w:lvl w:ilvl="0">
      <w:start w:val="1"/>
      <w:numFmt w:val="bullet"/>
      <w:lvlText w:val="•"/>
      <w:lvlJc w:val="left"/>
      <w:pPr>
        <w:ind w:left="360" w:hanging="360"/>
      </w:pPr>
      <w:rPr>
        <w:rFonts w:ascii="Roboto" w:hAnsi="Roboto"/>
        <w:sz w:val="20"/>
        <w:szCs w:val="20"/>
      </w:r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