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WGFRF</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12.12.1122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riowgw</w:t>
      </w:r>
    </w:p>
    <w:p>
      <w:pPr>
        <w:spacing w:before="0" w:after="40" w:line="240" w:lineRule="auto"/>
        <w:ind w:left="0"/>
        <w:contextualSpacing w:val="0"/>
      </w:pPr>
      <w:r>
        <w:rPr>
          <w:rFonts w:ascii="Roboto" w:hAnsi="Roboto"/>
          <w:sz w:val="22"/>
          <w:szCs w:val="22"/>
        </w:rPr>
        <w:t xml:space="preserve">wdgagr</w:t>
      </w:r>
    </w:p>
    <w:p>
      <w:pPr>
        <w:spacing w:before="0" w:after="40" w:line="240" w:lineRule="auto"/>
        <w:ind w:left="0"/>
        <w:contextualSpacing w:val="0"/>
      </w:pPr>
      <w:r>
        <w:rPr>
          <w:rFonts w:ascii="Roboto" w:hAnsi="Roboto"/>
          <w:sz w:val="22"/>
          <w:szCs w:val="22"/>
        </w:rPr>
        <w:t xml:space="preserve">wgfrf</w:t>
      </w:r>
    </w:p>
    <w:p>
      <w:pPr>
        <w:spacing w:before="0" w:after="40" w:line="240" w:lineRule="auto"/>
        <w:ind w:left="0"/>
        <w:contextualSpacing w:val="0"/>
      </w:pPr>
      <w:r>
        <w:rPr>
          <w:rFonts w:ascii="Roboto" w:hAnsi="Roboto"/>
          <w:sz w:val="22"/>
          <w:szCs w:val="22"/>
        </w:rPr>
        <w:t xml:space="preserve">gvdvaeg</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riowgw,</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20" w:hanging="220"/>
        <w:contextualSpacing w:val="0"/>
      </w:pPr>
      <w:r>
        <w:rPr>
          <w:rFonts w:ascii="Roboto" w:hAnsi="Roboto"/>
          <w:sz w:val="22"/>
          <w:szCs w:val="22"/>
        </w:rPr>
        <w:t xml:space="preserve">• InCorp’s empanelled audit partners can assist with the transfer pricing reporting &amp; audit (applicable for companies having intercompany transactions). The quotes for the same can be provided separately.</w:t>
      </w:r>
    </w:p>
    <w:p>
      <w:pPr>
        <w:spacing w:before="0" w:after="60" w:line="240" w:lineRule="auto"/>
        <w:ind w:left="220" w:hanging="220"/>
        <w:contextualSpacing w:val="0"/>
      </w:pPr>
      <w:r>
        <w:rPr>
          <w:rFonts w:ascii="Roboto" w:hAnsi="Roboto"/>
          <w:sz w:val="22"/>
          <w:szCs w:val="22"/>
        </w:rPr>
        <w:t xml:space="preserve">• InCorp’s empanelled audit partners can assist with the transfer pricing reporting &amp; audit (applicable for companies having intercompany transactions). The quotes for the same can be provided separately.</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1234,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00" w:hanging="200"/>
              <w:contextualSpacing w:val="0"/>
            </w:pPr>
            <w:r>
              <w:rPr>
                <w:rFonts w:ascii="Roboto" w:hAnsi="Roboto"/>
                <w:sz w:val="20"/>
                <w:szCs w:val="20"/>
                <w:color w:val="777777"/>
              </w:rPr>
              <w:t xml:space="preserve">• GST laws/regulations</w:t>
            </w:r>
          </w:p>
          <w:p>
            <w:pPr>
              <w:spacing w:before="0" w:after="60" w:line="240" w:lineRule="auto"/>
              <w:ind w:left="200" w:hanging="200"/>
              <w:contextualSpacing w:val="0"/>
            </w:pPr>
            <w:r>
              <w:rPr>
                <w:rFonts w:ascii="Roboto" w:hAnsi="Roboto"/>
                <w:sz w:val="20"/>
                <w:szCs w:val="20"/>
                <w:color w:val="777777"/>
              </w:rPr>
              <w:t xml:space="preserve">• Income Tax Act, 1961</w:t>
            </w:r>
          </w:p>
          <w:p>
            <w:pPr>
              <w:spacing w:before="0" w:after="60" w:line="240" w:lineRule="auto"/>
              <w:ind w:left="200" w:hanging="200"/>
              <w:contextualSpacing w:val="0"/>
            </w:pPr>
            <w:r>
              <w:rPr>
                <w:rFonts w:ascii="Roboto" w:hAnsi="Roboto"/>
                <w:sz w:val="20"/>
                <w:szCs w:val="20"/>
                <w:color w:val="777777"/>
              </w:rPr>
              <w:t xml:space="preserve">• Company’s Act, 2013</w:t>
            </w:r>
          </w:p>
          <w:p>
            <w:pPr>
              <w:spacing w:before="0" w:after="60" w:line="240" w:lineRule="auto"/>
              <w:ind w:left="200" w:hanging="200"/>
              <w:contextualSpacing w:val="0"/>
            </w:pPr>
            <w:r>
              <w:rPr>
                <w:rFonts w:ascii="Roboto" w:hAnsi="Roboto"/>
                <w:sz w:val="20"/>
                <w:szCs w:val="20"/>
                <w:color w:val="777777"/>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00" w:hanging="200"/>
              <w:contextualSpacing w:val="0"/>
            </w:pPr>
            <w:r>
              <w:rPr>
                <w:rFonts w:ascii="Roboto" w:hAnsi="Roboto"/>
                <w:sz w:val="20"/>
                <w:szCs w:val="20"/>
                <w:color w:val="777777"/>
              </w:rPr>
              <w:t xml:space="preserve">• Company’s Act, 2013</w:t>
            </w:r>
          </w:p>
          <w:p>
            <w:pPr>
              <w:spacing w:before="0" w:after="60" w:line="240" w:lineRule="auto"/>
              <w:ind w:left="200" w:hanging="200"/>
              <w:contextualSpacing w:val="0"/>
            </w:pPr>
            <w:r>
              <w:rPr>
                <w:rFonts w:ascii="Roboto" w:hAnsi="Roboto"/>
                <w:sz w:val="20"/>
                <w:szCs w:val="20"/>
                <w:color w:val="777777"/>
              </w:rPr>
              <w:t xml:space="preserve">• Income Tax Act, 1961</w:t>
            </w:r>
          </w:p>
          <w:p>
            <w:pPr>
              <w:spacing w:before="0" w:after="60" w:line="240" w:lineRule="auto"/>
              <w:ind w:left="200" w:hanging="200"/>
              <w:contextualSpacing w:val="0"/>
            </w:pPr>
            <w:r>
              <w:rPr>
                <w:rFonts w:ascii="Roboto" w:hAnsi="Roboto"/>
                <w:sz w:val="20"/>
                <w:szCs w:val="20"/>
                <w:color w:val="777777"/>
              </w:rPr>
              <w:t xml:space="preserve">• Goods and Service Tax Act, 2017</w:t>
            </w:r>
          </w:p>
          <w:p>
            <w:pPr>
              <w:spacing w:before="0" w:after="60" w:line="240" w:lineRule="auto"/>
              <w:ind w:left="200" w:hanging="200"/>
              <w:contextualSpacing w:val="0"/>
            </w:pPr>
            <w:r>
              <w:rPr>
                <w:rFonts w:ascii="Roboto" w:hAnsi="Roboto"/>
                <w:sz w:val="20"/>
                <w:szCs w:val="20"/>
                <w:color w:val="777777"/>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contextualSpacing w:val="0"/>
      </w:pPr>
      <w:r>
        <w:rPr>
          <w:rFonts w:ascii="Roboto" w:hAnsi="Roboto"/>
          <w:sz w:val="20"/>
          <w:szCs w:val="20"/>
          <w:color w:val="444444"/>
        </w:rPr>
        <w:t xml:space="preserve">• All fees quoted above exclude 18% GST</w:t>
      </w:r>
    </w:p>
    <w:p>
      <w:pPr>
        <w:spacing w:before="0" w:after="40" w:line="240" w:lineRule="auto"/>
        <w:ind w:left="200" w:hanging="200"/>
        <w:contextualSpacing w:val="0"/>
      </w:pPr>
      <w:r>
        <w:rPr>
          <w:rFonts w:ascii="Roboto" w:hAnsi="Roboto"/>
          <w:sz w:val="20"/>
          <w:szCs w:val="20"/>
          <w:color w:val="444444"/>
        </w:rPr>
        <w:t xml:space="preserve">• Professional fees exclude any fees towards regularisation of past non compliances.</w:t>
      </w:r>
    </w:p>
    <w:p>
      <w:pPr>
        <w:spacing w:before="0" w:after="40" w:line="240" w:lineRule="auto"/>
        <w:ind w:left="200" w:hanging="200"/>
        <w:contextualSpacing w:val="0"/>
      </w:pPr>
      <w:r>
        <w:rPr>
          <w:rFonts w:ascii="Roboto" w:hAnsi="Roboto"/>
          <w:sz w:val="20"/>
          <w:szCs w:val="20"/>
          <w:color w:val="444444"/>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200" w:after="120" w:line="240" w:lineRule="auto"/>
        <w:ind w:left="0"/>
        <w:contextualSpacing w:val="0"/>
      </w:pPr>
      <w:r>
        <w:rPr>
          <w:rFonts w:ascii="Roboto" w:hAnsi="Roboto"/>
          <w:b/>
          <w:sz w:val="24"/>
          <w:szCs w:val="24"/>
          <w:color w:val="C00000"/>
        </w:rPr>
        <w:t xml:space="preserve">B.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color w:val="777777"/>
              </w:rPr>
              <w:t xml:space="preserve">2. Assisting in arriving at the arm’s length price or margin range.</w:t>
            </w:r>
          </w:p>
          <w:p>
            <w:pPr>
              <w:spacing w:before="0" w:after="40" w:line="240" w:lineRule="auto"/>
              <w:ind w:left="0"/>
              <w:contextualSpacing w:val="0"/>
            </w:pPr>
            <w:r>
              <w:rPr>
                <w:rFonts w:ascii="Roboto" w:hAnsi="Roboto"/>
                <w:sz w:val="20"/>
                <w:szCs w:val="20"/>
                <w:color w:val="777777"/>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contextualSpacing w:val="0"/>
      </w:pPr>
      <w:r>
        <w:rPr>
          <w:rFonts w:ascii="Roboto" w:hAnsi="Roboto"/>
          <w:sz w:val="20"/>
          <w:szCs w:val="20"/>
          <w:color w:val="444444"/>
        </w:rPr>
        <w:t xml:space="preserve">• All fees quoted above exclude 18% GST.</w:t>
      </w:r>
    </w:p>
    <w:p>
      <w:pPr>
        <w:spacing w:before="0" w:after="40" w:line="240" w:lineRule="auto"/>
        <w:ind w:left="200" w:hanging="200"/>
        <w:contextualSpacing w:val="0"/>
      </w:pPr>
      <w:r>
        <w:rPr>
          <w:rFonts w:ascii="Roboto" w:hAnsi="Roboto"/>
          <w:sz w:val="20"/>
          <w:szCs w:val="20"/>
          <w:color w:val="444444"/>
        </w:rPr>
        <w:t xml:space="preserve">• Professional fees exclude all out-of-pocket expenses.</w:t>
      </w:r>
    </w:p>
    <w:p>
      <w:pPr>
        <w:spacing w:before="0" w:after="40" w:line="240" w:lineRule="auto"/>
        <w:ind w:left="200" w:hanging="200"/>
        <w:contextualSpacing w:val="0"/>
      </w:pPr>
      <w:r>
        <w:rPr>
          <w:rFonts w:ascii="Roboto" w:hAnsi="Roboto"/>
          <w:sz w:val="20"/>
          <w:szCs w:val="20"/>
          <w:color w:val="444444"/>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