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8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-43180</wp:posOffset>
            </wp:positionV>
            <wp:extent cx="7772400" cy="999308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9930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0" w:right="358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40"/>
        </w:rPr>
        <w:t>j3k</w:t>
      </w: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04" w:lineRule="exact" w:before="284" w:after="0"/>
        <w:ind w:left="12" w:right="0" w:firstLine="0"/>
        <w:jc w:val="left"/>
      </w:pPr>
      <w:r>
        <w:rPr>
          <w:rFonts w:ascii="CIDFont+F4" w:hAnsi="CIDFont+F4" w:eastAsia="CIDFont+F4"/>
          <w:b w:val="0"/>
          <w:i w:val="0"/>
          <w:color w:val="BB2121"/>
          <w:sz w:val="34"/>
        </w:rPr>
        <w:t xml:space="preserve">TABLE OF CONTENTS </w:t>
      </w:r>
    </w:p>
    <w:p>
      <w:pPr>
        <w:autoSpaceDN w:val="0"/>
        <w:autoSpaceDE w:val="0"/>
        <w:widowControl/>
        <w:spacing w:line="474" w:lineRule="exact" w:before="374" w:after="0"/>
        <w:ind w:left="350" w:right="6480" w:firstLine="0"/>
        <w:jc w:val="left"/>
      </w:pPr>
      <w:r>
        <w:rPr>
          <w:rFonts w:ascii="CIDFont+F4" w:hAnsi="CIDFont+F4" w:eastAsia="CIDFont+F4"/>
          <w:b w:val="0"/>
          <w:i w:val="0"/>
          <w:color w:val="BB2121"/>
          <w:sz w:val="29"/>
        </w:rPr>
        <w:t>•</w:t>
      </w:r>
      <w:r>
        <w:rPr>
          <w:w w:val="101.33307530329778"/>
          <w:rFonts w:ascii="CIDFont+F1" w:hAnsi="CIDFont+F1" w:eastAsia="CIDFont+F1"/>
          <w:b w:val="0"/>
          <w:i w:val="0"/>
          <w:color w:val="404040"/>
          <w:sz w:val="26"/>
        </w:rPr>
        <w:t xml:space="preserve">About InCorp </w:t>
      </w:r>
      <w:r>
        <w:br/>
      </w:r>
      <w:r>
        <w:rPr>
          <w:rFonts w:ascii="CIDFont+F4" w:hAnsi="CIDFont+F4" w:eastAsia="CIDFont+F4"/>
          <w:b w:val="0"/>
          <w:i w:val="0"/>
          <w:color w:val="BB2121"/>
          <w:sz w:val="29"/>
        </w:rPr>
        <w:t>•</w:t>
      </w:r>
      <w:r>
        <w:rPr>
          <w:w w:val="101.33307530329778"/>
          <w:rFonts w:ascii="CIDFont+F1" w:hAnsi="CIDFont+F1" w:eastAsia="CIDFont+F1"/>
          <w:b w:val="0"/>
          <w:i w:val="0"/>
          <w:color w:val="404040"/>
          <w:sz w:val="26"/>
        </w:rPr>
        <w:t xml:space="preserve">Scope of Services </w:t>
      </w:r>
      <w:r>
        <w:br/>
      </w:r>
      <w:r>
        <w:rPr>
          <w:rFonts w:ascii="CIDFont+F4" w:hAnsi="CIDFont+F4" w:eastAsia="CIDFont+F4"/>
          <w:b w:val="0"/>
          <w:i w:val="0"/>
          <w:color w:val="BB2121"/>
          <w:sz w:val="29"/>
        </w:rPr>
        <w:t>•</w:t>
      </w:r>
      <w:r>
        <w:rPr>
          <w:w w:val="101.33307530329778"/>
          <w:rFonts w:ascii="CIDFont+F1" w:hAnsi="CIDFont+F1" w:eastAsia="CIDFont+F1"/>
          <w:b w:val="0"/>
          <w:i w:val="0"/>
          <w:color w:val="404040"/>
          <w:sz w:val="26"/>
        </w:rPr>
        <w:t xml:space="preserve">Fees </w:t>
      </w:r>
      <w:r>
        <w:br/>
      </w:r>
      <w:r>
        <w:rPr>
          <w:rFonts w:ascii="CIDFont+F4" w:hAnsi="CIDFont+F4" w:eastAsia="CIDFont+F4"/>
          <w:b w:val="0"/>
          <w:i w:val="0"/>
          <w:color w:val="BB2121"/>
          <w:sz w:val="29"/>
        </w:rPr>
        <w:t>•</w:t>
      </w:r>
      <w:r>
        <w:rPr>
          <w:w w:val="101.33307530329778"/>
          <w:rFonts w:ascii="CIDFont+F1" w:hAnsi="CIDFont+F1" w:eastAsia="CIDFont+F1"/>
          <w:b w:val="0"/>
          <w:i w:val="0"/>
          <w:color w:val="404040"/>
          <w:sz w:val="26"/>
        </w:rPr>
        <w:t xml:space="preserve">Terms and Conditions </w:t>
      </w:r>
    </w:p>
    <w:p>
      <w:pPr>
        <w:autoSpaceDN w:val="0"/>
        <w:autoSpaceDE w:val="0"/>
        <w:widowControl/>
        <w:spacing w:line="184" w:lineRule="exact" w:before="9838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2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202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3952240</wp:posOffset>
            </wp:positionV>
            <wp:extent cx="891539" cy="69947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1539" cy="6994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3873500</wp:posOffset>
            </wp:positionV>
            <wp:extent cx="1866900" cy="901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901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1738630</wp:posOffset>
            </wp:positionH>
            <wp:positionV relativeFrom="page">
              <wp:posOffset>3929379</wp:posOffset>
            </wp:positionV>
            <wp:extent cx="891539" cy="71449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1539" cy="7144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751840</wp:posOffset>
            </wp:positionH>
            <wp:positionV relativeFrom="page">
              <wp:posOffset>4958080</wp:posOffset>
            </wp:positionV>
            <wp:extent cx="1464310" cy="48714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4871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751840</wp:posOffset>
            </wp:positionH>
            <wp:positionV relativeFrom="page">
              <wp:posOffset>5725160</wp:posOffset>
            </wp:positionV>
            <wp:extent cx="1412240" cy="32942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3294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2528570</wp:posOffset>
            </wp:positionH>
            <wp:positionV relativeFrom="page">
              <wp:posOffset>4958080</wp:posOffset>
            </wp:positionV>
            <wp:extent cx="2071370" cy="6159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6159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2528570</wp:posOffset>
            </wp:positionH>
            <wp:positionV relativeFrom="page">
              <wp:posOffset>5728970</wp:posOffset>
            </wp:positionV>
            <wp:extent cx="1930400" cy="75039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7503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4906010</wp:posOffset>
            </wp:positionH>
            <wp:positionV relativeFrom="page">
              <wp:posOffset>4958080</wp:posOffset>
            </wp:positionV>
            <wp:extent cx="2071369" cy="152259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1369" cy="1522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2702560</wp:posOffset>
            </wp:positionH>
            <wp:positionV relativeFrom="page">
              <wp:posOffset>2407920</wp:posOffset>
            </wp:positionV>
            <wp:extent cx="4579620" cy="46970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697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410209</wp:posOffset>
            </wp:positionH>
            <wp:positionV relativeFrom="page">
              <wp:posOffset>2433320</wp:posOffset>
            </wp:positionV>
            <wp:extent cx="1738629" cy="46321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38629" cy="4632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2440940</wp:posOffset>
            </wp:positionV>
            <wp:extent cx="523239" cy="45711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239" cy="4571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82" w:after="0"/>
        <w:ind w:left="412" w:right="0" w:firstLine="0"/>
        <w:jc w:val="left"/>
      </w:pPr>
      <w:r>
        <w:rPr>
          <w:w w:val="101.33307530329778"/>
          <w:rFonts w:ascii="CIDFont+F4" w:hAnsi="CIDFont+F4" w:eastAsia="CIDFont+F4"/>
          <w:b w:val="0"/>
          <w:i w:val="0"/>
          <w:color w:val="BB2121"/>
          <w:sz w:val="26"/>
        </w:rPr>
        <w:t xml:space="preserve">ABOUT INCORP </w:t>
      </w:r>
    </w:p>
    <w:p>
      <w:pPr>
        <w:autoSpaceDN w:val="0"/>
        <w:autoSpaceDE w:val="0"/>
        <w:widowControl/>
        <w:spacing w:line="270" w:lineRule="exact" w:before="92" w:after="54"/>
        <w:ind w:left="412" w:right="288" w:firstLine="0"/>
        <w:jc w:val="left"/>
      </w:pP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InCorp is a leading provider of a wide range of professional corporate solutions and services across Asia </w:t>
      </w: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Pacific. We are the only Singapore-based corporate solutions company to have a presence in 9 countries: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9"/>
        <w:gridCol w:w="1179"/>
        <w:gridCol w:w="1179"/>
        <w:gridCol w:w="1179"/>
        <w:gridCol w:w="1179"/>
        <w:gridCol w:w="1179"/>
        <w:gridCol w:w="1179"/>
        <w:gridCol w:w="1179"/>
        <w:gridCol w:w="1179"/>
      </w:tblGrid>
      <w:tr>
        <w:trPr>
          <w:trHeight w:hRule="exact" w:val="772"/>
        </w:trPr>
        <w:tc>
          <w:tcPr>
            <w:tcW w:type="dxa" w:w="1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2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4189" cy="4330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9" cy="4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90" cy="4330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0" cy="4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3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92759" cy="4229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59" cy="4229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5300" cy="4330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89" cy="43306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9" cy="4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0379" cy="4330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79" cy="433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189" cy="4330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9" cy="433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5460" cy="4330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460" cy="433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"/>
        </w:trPr>
        <w:tc>
          <w:tcPr>
            <w:tcW w:type="dxa" w:w="1179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 xml:space="preserve">HONG KONG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66" w:after="0"/>
              <w:ind w:left="0" w:right="0" w:firstLine="0"/>
              <w:jc w:val="center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>INDIA</w:t>
            </w:r>
          </w:p>
        </w:tc>
        <w:tc>
          <w:tcPr>
            <w:tcW w:type="dxa" w:w="3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" w:after="0"/>
              <w:ind w:left="0" w:right="0" w:firstLine="0"/>
              <w:jc w:val="center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 xml:space="preserve">INDONESIA MALAYSIA PHILIPPINES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" w:after="0"/>
              <w:ind w:left="0" w:right="0" w:firstLine="0"/>
              <w:jc w:val="center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 xml:space="preserve">SINGAPORE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" w:after="0"/>
              <w:ind w:left="122" w:right="0" w:firstLine="0"/>
              <w:jc w:val="left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>VIETNAM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194" w:right="0" w:firstLine="0"/>
              <w:jc w:val="left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 xml:space="preserve">CHINA </w:t>
            </w:r>
          </w:p>
        </w:tc>
      </w:tr>
      <w:tr>
        <w:trPr>
          <w:trHeight w:hRule="exact" w:val="334"/>
        </w:trPr>
        <w:tc>
          <w:tcPr>
            <w:tcW w:type="dxa" w:w="1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" w:after="0"/>
              <w:ind w:left="0" w:right="0" w:firstLine="0"/>
              <w:jc w:val="center"/>
            </w:pPr>
            <w:r>
              <w:rPr>
                <w:w w:val="98.83881523495629"/>
                <w:rFonts w:ascii="CIDFont+F1" w:hAnsi="CIDFont+F1" w:eastAsia="CIDFont+F1"/>
                <w:b w:val="0"/>
                <w:i w:val="0"/>
                <w:color w:val="404040"/>
                <w:sz w:val="21"/>
              </w:rPr>
              <w:t xml:space="preserve">AUSTRALIA </w:t>
            </w:r>
          </w:p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3537"/>
            <w:gridSpan w:val="3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  <w:tc>
          <w:tcPr>
            <w:tcW w:type="dxa" w:w="11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308" w:after="0"/>
        <w:ind w:left="412" w:right="288" w:firstLine="0"/>
        <w:jc w:val="left"/>
      </w:pP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Our award-winning capabilities and resources provide organisations and individuals a full suite of </w:t>
      </w: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comprehensive services to help them turn their “Vision To Reality”. </w:t>
      </w:r>
    </w:p>
    <w:p>
      <w:pPr>
        <w:autoSpaceDN w:val="0"/>
        <w:autoSpaceDE w:val="0"/>
        <w:widowControl/>
        <w:spacing w:line="318" w:lineRule="exact" w:before="588" w:after="0"/>
        <w:ind w:left="412" w:right="0" w:firstLine="0"/>
        <w:jc w:val="left"/>
      </w:pPr>
      <w:r>
        <w:rPr>
          <w:w w:val="101.33307530329778"/>
          <w:rFonts w:ascii="CIDFont+F4" w:hAnsi="CIDFont+F4" w:eastAsia="CIDFont+F4"/>
          <w:b w:val="0"/>
          <w:i w:val="0"/>
          <w:color w:val="BB2121"/>
          <w:sz w:val="26"/>
        </w:rPr>
        <w:t xml:space="preserve">SNAPSHOT </w:t>
      </w:r>
    </w:p>
    <w:p>
      <w:pPr>
        <w:autoSpaceDN w:val="0"/>
        <w:autoSpaceDE w:val="0"/>
        <w:widowControl/>
        <w:spacing w:line="214" w:lineRule="exact" w:before="138" w:after="0"/>
        <w:ind w:left="3788" w:right="2304" w:firstLine="0"/>
        <w:jc w:val="left"/>
      </w:pPr>
      <w:r>
        <w:rPr>
          <w:w w:val="97.85567283630371"/>
          <w:rFonts w:ascii="CIDFont+F4" w:hAnsi="CIDFont+F4" w:eastAsia="CIDFont+F4"/>
          <w:b w:val="0"/>
          <w:i w:val="0"/>
          <w:color w:val="BB2121"/>
          <w:sz w:val="20"/>
        </w:rPr>
        <w:t>•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 xml:space="preserve">Pan-Asia player anchored in Singapore </w:t>
      </w:r>
      <w:r>
        <w:br/>
      </w:r>
      <w:r>
        <w:rPr>
          <w:w w:val="97.85567283630371"/>
          <w:rFonts w:ascii="CIDFont+F4" w:hAnsi="CIDFont+F4" w:eastAsia="CIDFont+F4"/>
          <w:b w:val="0"/>
          <w:i w:val="0"/>
          <w:color w:val="BB2121"/>
          <w:sz w:val="20"/>
        </w:rPr>
        <w:t>•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 xml:space="preserve">#1 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corporate services provider in Singapore </w:t>
      </w:r>
      <w:r>
        <w:br/>
      </w:r>
      <w:r>
        <w:rPr>
          <w:w w:val="97.85567283630371"/>
          <w:rFonts w:ascii="CIDFont+F4" w:hAnsi="CIDFont+F4" w:eastAsia="CIDFont+F4"/>
          <w:b w:val="0"/>
          <w:i w:val="0"/>
          <w:color w:val="BB2121"/>
          <w:sz w:val="20"/>
        </w:rPr>
        <w:t>•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Presence across 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>key countries in Asia Pacific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5.99999999999994" w:type="dxa"/>
      </w:tblPr>
      <w:tblGrid>
        <w:gridCol w:w="3536"/>
        <w:gridCol w:w="3536"/>
        <w:gridCol w:w="3536"/>
      </w:tblGrid>
      <w:tr>
        <w:trPr>
          <w:trHeight w:hRule="exact" w:val="27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76" w:after="0"/>
              <w:ind w:left="354" w:right="0" w:firstLine="0"/>
              <w:jc w:val="left"/>
            </w:pPr>
            <w:r>
              <w:rPr>
                <w:w w:val="101.52549743652344"/>
                <w:rFonts w:ascii="CIDFont+F2" w:hAnsi="CIDFont+F2" w:eastAsia="CIDFont+F2"/>
                <w:b/>
                <w:i w:val="0"/>
                <w:color w:val="FFFFFF"/>
                <w:sz w:val="24"/>
              </w:rPr>
              <w:t xml:space="preserve">15,000+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8" w:after="0"/>
              <w:ind w:left="0" w:right="0" w:firstLine="0"/>
              <w:jc w:val="center"/>
            </w:pPr>
            <w:r>
              <w:rPr>
                <w:w w:val="101.52549743652344"/>
                <w:rFonts w:ascii="CIDFont+F2" w:hAnsi="CIDFont+F2" w:eastAsia="CIDFont+F2"/>
                <w:b/>
                <w:i w:val="0"/>
                <w:color w:val="FFFFFF"/>
                <w:sz w:val="24"/>
              </w:rPr>
              <w:t>1,200+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352" w:right="0" w:firstLine="0"/>
              <w:jc w:val="left"/>
            </w:pPr>
            <w:r>
              <w:rPr>
                <w:w w:val="97.85567283630371"/>
                <w:rFonts w:ascii="CIDFont+F4" w:hAnsi="CIDFont+F4" w:eastAsia="CIDFont+F4"/>
                <w:b w:val="0"/>
                <w:i w:val="0"/>
                <w:color w:val="BB2121"/>
                <w:sz w:val="20"/>
              </w:rPr>
              <w:t>•</w:t>
            </w:r>
            <w:r>
              <w:rPr>
                <w:w w:val="98.831664191352"/>
                <w:rFonts w:ascii="CIDFont+F2" w:hAnsi="CIDFont+F2" w:eastAsia="CIDFont+F2"/>
                <w:b/>
                <w:i w:val="0"/>
                <w:color w:val="404040"/>
                <w:sz w:val="18"/>
              </w:rPr>
              <w:t xml:space="preserve">30+ years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of operating track record </w:t>
            </w:r>
          </w:p>
        </w:tc>
      </w:tr>
      <w:tr>
        <w:trPr>
          <w:trHeight w:hRule="exact" w:val="195"/>
        </w:trPr>
        <w:tc>
          <w:tcPr>
            <w:tcW w:type="dxa" w:w="3536"/>
            <w:vMerge/>
            <w:tcBorders/>
          </w:tcPr>
          <w:p/>
        </w:tc>
        <w:tc>
          <w:tcPr>
            <w:tcW w:type="dxa" w:w="3536"/>
            <w:vMerge/>
            <w:tcBorders/>
          </w:tcPr>
          <w:p/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52" w:right="0" w:firstLine="0"/>
              <w:jc w:val="left"/>
            </w:pPr>
            <w:r>
              <w:rPr>
                <w:w w:val="97.85567283630371"/>
                <w:rFonts w:ascii="CIDFont+F4" w:hAnsi="CIDFont+F4" w:eastAsia="CIDFont+F4"/>
                <w:b w:val="0"/>
                <w:i w:val="0"/>
                <w:color w:val="BB2121"/>
                <w:sz w:val="20"/>
              </w:rPr>
              <w:t>•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Services </w:t>
            </w:r>
            <w:r>
              <w:rPr>
                <w:w w:val="98.831664191352"/>
                <w:rFonts w:ascii="CIDFont+F2" w:hAnsi="CIDFont+F2" w:eastAsia="CIDFont+F2"/>
                <w:b/>
                <w:i w:val="0"/>
                <w:color w:val="404040"/>
                <w:sz w:val="18"/>
              </w:rPr>
              <w:t>MNCs, large corporates, SMEs, startups, family offices, funds</w:t>
            </w:r>
          </w:p>
        </w:tc>
      </w:tr>
      <w:tr>
        <w:trPr>
          <w:trHeight w:hRule="exact" w:val="231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w w:val="98.55622743305406"/>
                <w:rFonts w:ascii="CIDFont+F1" w:hAnsi="CIDFont+F1" w:eastAsia="CIDFont+F1"/>
                <w:b w:val="0"/>
                <w:i w:val="0"/>
                <w:color w:val="FFFFFF"/>
                <w:sz w:val="19"/>
              </w:rPr>
              <w:t xml:space="preserve">Clients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w w:val="98.55622743305406"/>
                <w:rFonts w:ascii="CIDFont+F1" w:hAnsi="CIDFont+F1" w:eastAsia="CIDFont+F1"/>
                <w:b w:val="0"/>
                <w:i w:val="0"/>
                <w:color w:val="FFFFFF"/>
                <w:sz w:val="19"/>
              </w:rPr>
              <w:t>Employees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85567283630371"/>
                <w:rFonts w:ascii="CIDFont+F4" w:hAnsi="CIDFont+F4" w:eastAsia="CIDFont+F4"/>
                <w:b w:val="0"/>
                <w:i w:val="0"/>
                <w:color w:val="BB2121"/>
                <w:sz w:val="20"/>
              </w:rPr>
              <w:t>•</w:t>
            </w:r>
            <w:r>
              <w:rPr>
                <w:w w:val="98.831664191352"/>
                <w:rFonts w:ascii="CIDFont+F2" w:hAnsi="CIDFont+F2" w:eastAsia="CIDFont+F2"/>
                <w:b/>
                <w:i w:val="0"/>
                <w:color w:val="404040"/>
                <w:sz w:val="18"/>
              </w:rPr>
              <w:t>An independent member of PrimeGlobal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, an award-winning association </w:t>
            </w:r>
          </w:p>
        </w:tc>
      </w:tr>
    </w:tbl>
    <w:p>
      <w:pPr>
        <w:autoSpaceDN w:val="0"/>
        <w:autoSpaceDE w:val="0"/>
        <w:widowControl/>
        <w:spacing w:line="214" w:lineRule="exact" w:before="2" w:after="206"/>
        <w:ind w:left="0" w:right="2886" w:firstLine="0"/>
        <w:jc w:val="righ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of independent accounting and advisory firms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3.9999999999999" w:type="dxa"/>
      </w:tblPr>
      <w:tblGrid>
        <w:gridCol w:w="3536"/>
        <w:gridCol w:w="3536"/>
        <w:gridCol w:w="3536"/>
      </w:tblGrid>
      <w:tr>
        <w:trPr>
          <w:trHeight w:hRule="exact" w:val="290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14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>20,000+ Entities</w:t>
            </w:r>
          </w:p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618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Strategic Partnerships </w:t>
            </w:r>
          </w:p>
        </w:tc>
        <w:tc>
          <w:tcPr>
            <w:tcW w:type="dxa" w:w="3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12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Proprietary in-house Tech </w:t>
            </w:r>
          </w:p>
        </w:tc>
      </w:tr>
      <w:tr>
        <w:trPr>
          <w:trHeight w:hRule="exact" w:val="254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incorporated over the last </w:t>
            </w:r>
          </w:p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6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with several government entities in </w:t>
            </w:r>
          </w:p>
        </w:tc>
        <w:tc>
          <w:tcPr>
            <w:tcW w:type="dxa" w:w="3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" w:after="0"/>
              <w:ind w:left="112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Portal System </w:t>
            </w:r>
          </w:p>
        </w:tc>
      </w:tr>
      <w:tr>
        <w:trPr>
          <w:trHeight w:hRule="exact" w:val="218"/>
        </w:trPr>
        <w:tc>
          <w:tcPr>
            <w:tcW w:type="dxa" w:w="2292"/>
            <w:vMerge w:val="restart"/>
            <w:tcBorders>
              <w:bottom w:sz="5.759999752044678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1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10 years </w:t>
            </w:r>
          </w:p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Asia, professional firms, fintech firms, </w:t>
            </w:r>
          </w:p>
        </w:tc>
        <w:tc>
          <w:tcPr>
            <w:tcW w:type="dxa" w:w="3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11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which drives industry leading </w:t>
            </w:r>
          </w:p>
        </w:tc>
      </w:tr>
      <w:tr>
        <w:trPr>
          <w:trHeight w:hRule="exact" w:val="336"/>
        </w:trPr>
        <w:tc>
          <w:tcPr>
            <w:tcW w:type="dxa" w:w="3536"/>
            <w:vMerge/>
            <w:tcBorders>
              <w:bottom w:sz="5.759999752044678" w:val="single" w:color="#BFBFBF"/>
            </w:tcBorders>
          </w:tcPr>
          <w:p/>
        </w:tc>
        <w:tc>
          <w:tcPr>
            <w:tcW w:type="dxa" w:w="4250"/>
            <w:tcBorders>
              <w:bottom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accelerators, funds and law firms </w:t>
            </w:r>
          </w:p>
        </w:tc>
        <w:tc>
          <w:tcPr>
            <w:tcW w:type="dxa" w:w="3182"/>
            <w:tcBorders>
              <w:bottom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11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operational and financial metrics </w:t>
            </w:r>
          </w:p>
        </w:tc>
      </w:tr>
      <w:tr>
        <w:trPr>
          <w:trHeight w:hRule="exact" w:val="412"/>
        </w:trPr>
        <w:tc>
          <w:tcPr>
            <w:tcW w:type="dxa" w:w="2292"/>
            <w:tcBorders>
              <w:top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6" w:after="0"/>
              <w:ind w:left="114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12,000+ Compliance </w:t>
            </w:r>
          </w:p>
        </w:tc>
        <w:tc>
          <w:tcPr>
            <w:tcW w:type="dxa" w:w="4250"/>
            <w:tcBorders>
              <w:top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6" w:after="0"/>
              <w:ind w:left="618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1,200+ Employees </w:t>
            </w:r>
          </w:p>
        </w:tc>
        <w:tc>
          <w:tcPr>
            <w:tcW w:type="dxa" w:w="3182"/>
            <w:tcBorders>
              <w:top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6" w:after="0"/>
              <w:ind w:left="112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Award-winning Group </w:t>
            </w:r>
          </w:p>
        </w:tc>
      </w:tr>
      <w:tr>
        <w:trPr>
          <w:trHeight w:hRule="exact" w:val="228"/>
        </w:trPr>
        <w:tc>
          <w:tcPr>
            <w:tcW w:type="dxa" w:w="2292"/>
            <w:vMerge w:val="restart"/>
            <w:tcBorders>
              <w:bottom w:sz="5.759999752044678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0" w:after="0"/>
              <w:ind w:left="114" w:right="0" w:firstLine="0"/>
              <w:jc w:val="left"/>
            </w:pPr>
            <w:r>
              <w:rPr>
                <w:w w:val="98.83881523495629"/>
                <w:rFonts w:ascii="CIDFont+F2" w:hAnsi="CIDFont+F2" w:eastAsia="CIDFont+F2"/>
                <w:b/>
                <w:i w:val="0"/>
                <w:color w:val="BB2121"/>
                <w:sz w:val="21"/>
              </w:rPr>
              <w:t>Transactions</w:t>
            </w: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per year</w:t>
            </w:r>
          </w:p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6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across APAC led by professional </w:t>
            </w:r>
          </w:p>
        </w:tc>
        <w:tc>
          <w:tcPr>
            <w:tcW w:type="dxa" w:w="3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and recognized platform in Singapore </w:t>
            </w:r>
          </w:p>
        </w:tc>
      </w:tr>
      <w:tr>
        <w:trPr>
          <w:trHeight w:hRule="exact" w:val="214"/>
        </w:trPr>
        <w:tc>
          <w:tcPr>
            <w:tcW w:type="dxa" w:w="3536"/>
            <w:vMerge/>
            <w:tcBorders>
              <w:bottom w:sz="5.759999752044678" w:val="single" w:color="#BFBFBF"/>
            </w:tcBorders>
          </w:tcPr>
          <w:p/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management team and industry </w:t>
            </w:r>
          </w:p>
        </w:tc>
        <w:tc>
          <w:tcPr>
            <w:tcW w:type="dxa" w:w="3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11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and Southeast Asia set-up to offer </w:t>
            </w:r>
          </w:p>
        </w:tc>
      </w:tr>
      <w:tr>
        <w:trPr>
          <w:trHeight w:hRule="exact" w:val="198"/>
        </w:trPr>
        <w:tc>
          <w:tcPr>
            <w:tcW w:type="dxa" w:w="3536"/>
            <w:vMerge/>
            <w:tcBorders>
              <w:bottom w:sz="5.759999752044678" w:val="single" w:color="#BFBFBF"/>
            </w:tcBorders>
          </w:tcPr>
          <w:p/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experts across multiple disciplines </w:t>
            </w:r>
          </w:p>
        </w:tc>
        <w:tc>
          <w:tcPr>
            <w:tcW w:type="dxa" w:w="3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full suite of comprehensive services </w:t>
            </w:r>
          </w:p>
        </w:tc>
      </w:tr>
      <w:tr>
        <w:trPr>
          <w:trHeight w:hRule="exact" w:val="570"/>
        </w:trPr>
        <w:tc>
          <w:tcPr>
            <w:tcW w:type="dxa" w:w="3536"/>
            <w:vMerge/>
            <w:tcBorders>
              <w:bottom w:sz="5.759999752044678" w:val="single" w:color="#BFBFBF"/>
            </w:tcBorders>
          </w:tcPr>
          <w:p/>
        </w:tc>
        <w:tc>
          <w:tcPr>
            <w:tcW w:type="dxa" w:w="4250"/>
            <w:tcBorders>
              <w:bottom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8" w:after="0"/>
              <w:ind w:left="6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and platforms </w:t>
            </w:r>
          </w:p>
        </w:tc>
        <w:tc>
          <w:tcPr>
            <w:tcW w:type="dxa" w:w="3182"/>
            <w:tcBorders>
              <w:bottom w:sz="5.759999752044678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8" w:after="0"/>
              <w:ind w:left="11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to customers </w:t>
            </w:r>
          </w:p>
        </w:tc>
      </w:tr>
    </w:tbl>
    <w:p>
      <w:pPr>
        <w:autoSpaceDN w:val="0"/>
        <w:autoSpaceDE w:val="0"/>
        <w:widowControl/>
        <w:spacing w:line="316" w:lineRule="exact" w:before="222" w:after="112"/>
        <w:ind w:left="412" w:right="0" w:firstLine="0"/>
        <w:jc w:val="left"/>
      </w:pPr>
      <w:r>
        <w:rPr>
          <w:w w:val="101.33307530329778"/>
          <w:rFonts w:ascii="CIDFont+F4" w:hAnsi="CIDFont+F4" w:eastAsia="CIDFont+F4"/>
          <w:b w:val="0"/>
          <w:i w:val="0"/>
          <w:color w:val="BB2121"/>
          <w:sz w:val="26"/>
        </w:rPr>
        <w:t xml:space="preserve">LOCATIONS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2652"/>
        <w:gridCol w:w="2652"/>
        <w:gridCol w:w="2652"/>
        <w:gridCol w:w="2652"/>
      </w:tblGrid>
      <w:tr>
        <w:trPr>
          <w:trHeight w:hRule="exact" w:val="30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244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SINGAPORE (HQ)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32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>AUSTRALIA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22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>HONG KONG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" w:after="0"/>
              <w:ind w:left="156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>INDIA</w:t>
            </w:r>
          </w:p>
        </w:tc>
      </w:tr>
      <w:tr>
        <w:trPr>
          <w:trHeight w:hRule="exact" w:val="20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30 Cecil Street, #19-08 Prudential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Level 1, 6-10 O’Connell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2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Unit 1307A, 13/F, Two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1602, B – Wing, One BKC, </w:t>
            </w:r>
          </w:p>
        </w:tc>
      </w:tr>
      <w:tr>
        <w:trPr>
          <w:trHeight w:hRule="exact" w:val="20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Tower, Singapore 049712.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Street, Sydney NSW 2000,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Harbourfront, 22 Tak Fung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Bandra Kurla Complex, </w:t>
            </w:r>
          </w:p>
        </w:tc>
      </w:tr>
      <w:tr>
        <w:trPr>
          <w:trHeight w:hRule="exact" w:val="224"/>
        </w:trPr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8" w:after="0"/>
              <w:ind w:left="244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INDONESIA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Australia.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2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Street, Hunghom, Kowloon,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Mumbai – 400051, India. </w:t>
            </w:r>
          </w:p>
        </w:tc>
      </w:tr>
      <w:tr>
        <w:trPr>
          <w:trHeight w:hRule="exact" w:val="296"/>
        </w:trPr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Hong Kong. </w:t>
            </w:r>
          </w:p>
        </w:tc>
        <w:tc>
          <w:tcPr>
            <w:tcW w:type="dxa" w:w="2652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2652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" w:after="0"/>
              <w:ind w:left="32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MALAYSIA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" w:after="0"/>
              <w:ind w:left="122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PHILIPPINES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2" w:after="0"/>
              <w:ind w:left="156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BB2121"/>
                <w:sz w:val="21"/>
              </w:rPr>
              <w:t xml:space="preserve">VIETNAM </w:t>
            </w:r>
          </w:p>
        </w:tc>
      </w:tr>
      <w:tr>
        <w:trPr>
          <w:trHeight w:hRule="exact" w:val="204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AXA Tower 36th floor, Kuningan </w:t>
            </w:r>
          </w:p>
        </w:tc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</w:tr>
      <w:tr>
        <w:trPr>
          <w:trHeight w:hRule="exact" w:val="211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City, Jl. Prof. Dr. Satrio Kav. 18,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D-8-3A, Menara SuezCap 1,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12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8th Floor, Marajo Tower, 312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5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The Galleria Office Building, </w:t>
            </w:r>
          </w:p>
        </w:tc>
      </w:tr>
      <w:tr>
        <w:trPr>
          <w:trHeight w:hRule="exact" w:val="215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Kuningan, Jakarta Selatan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KL Gateway, 59200 Kuala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26th St. West corner 4th Ave.,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258 Nam Ky Khoi Nghia Street, </w:t>
            </w:r>
          </w:p>
        </w:tc>
      </w:tr>
      <w:tr>
        <w:trPr>
          <w:trHeight w:hRule="exact" w:val="201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12940, Indonesia.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Lumpur.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Bonifacio Global City, Taguig,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Vo Thi Sau Ward, District 3, Ho </w:t>
            </w:r>
          </w:p>
        </w:tc>
      </w:tr>
      <w:tr>
        <w:trPr>
          <w:trHeight w:hRule="exact" w:val="213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244" w:right="0" w:firstLine="0"/>
              <w:jc w:val="left"/>
            </w:pPr>
            <w:r>
              <w:rPr>
                <w:w w:val="98.65285782586962"/>
                <w:rFonts w:ascii="CIDFont+F2" w:hAnsi="CIDFont+F2" w:eastAsia="CIDFont+F2"/>
                <w:b/>
                <w:i w:val="0"/>
                <w:color w:val="C00000"/>
                <w:sz w:val="21"/>
              </w:rPr>
              <w:t xml:space="preserve">CHINA </w:t>
            </w:r>
          </w:p>
        </w:tc>
        <w:tc>
          <w:tcPr>
            <w:tcW w:type="dxa" w:w="2652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122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Philippines 1634.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Chi Minh City, Vietnam 72408. </w:t>
            </w:r>
          </w:p>
        </w:tc>
      </w:tr>
      <w:tr>
        <w:trPr>
          <w:trHeight w:hRule="exact" w:val="20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Huamin Hanzun International </w:t>
            </w:r>
          </w:p>
        </w:tc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24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7"/>
              </w:rPr>
              <w:t xml:space="preserve">Building, 726 West Yan’an Road, </w:t>
            </w:r>
          </w:p>
        </w:tc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  <w:tc>
          <w:tcPr>
            <w:tcW w:type="dxa" w:w="265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2" w:after="0"/>
        <w:ind w:left="460" w:right="0" w:firstLine="0"/>
        <w:jc w:val="left"/>
      </w:pPr>
      <w:r>
        <w:rPr>
          <w:rFonts w:ascii="CIDFont+F1" w:hAnsi="CIDFont+F1" w:eastAsia="CIDFont+F1"/>
          <w:b w:val="0"/>
          <w:i w:val="0"/>
          <w:color w:val="404040"/>
          <w:sz w:val="17"/>
        </w:rPr>
        <w:t>Changning District, Shanghai</w:t>
      </w:r>
    </w:p>
    <w:p>
      <w:pPr>
        <w:autoSpaceDN w:val="0"/>
        <w:autoSpaceDE w:val="0"/>
        <w:widowControl/>
        <w:spacing w:line="184" w:lineRule="exact" w:before="376" w:after="0"/>
        <w:ind w:left="4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3 of 21 </w:t>
      </w:r>
    </w:p>
    <w:p>
      <w:pPr>
        <w:autoSpaceDN w:val="0"/>
        <w:autoSpaceDE w:val="0"/>
        <w:widowControl/>
        <w:spacing w:line="138" w:lineRule="exact" w:before="186" w:after="0"/>
        <w:ind w:left="4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4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848" w:bottom="338" w:left="7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284" w:after="0"/>
        <w:ind w:left="12" w:right="0" w:firstLine="0"/>
        <w:jc w:val="left"/>
      </w:pPr>
      <w:r>
        <w:rPr>
          <w:w w:val="101.33307530329778"/>
          <w:rFonts w:ascii="CIDFont+F4" w:hAnsi="CIDFont+F4" w:eastAsia="CIDFont+F4"/>
          <w:b w:val="0"/>
          <w:i w:val="0"/>
          <w:color w:val="BB2121"/>
          <w:sz w:val="26"/>
        </w:rPr>
        <w:t xml:space="preserve">OUR FULL RANGE OF CORPORATE SERVICES ACROSS ASIA PACIFIC 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799840" cy="404749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404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6" w:lineRule="exact" w:before="1014" w:after="456"/>
        <w:ind w:left="12" w:right="0" w:firstLine="0"/>
        <w:jc w:val="left"/>
      </w:pPr>
      <w:r>
        <w:rPr>
          <w:w w:val="101.33307530329778"/>
          <w:rFonts w:ascii="CIDFont+F4" w:hAnsi="CIDFont+F4" w:eastAsia="CIDFont+F4"/>
          <w:b w:val="0"/>
          <w:i w:val="0"/>
          <w:color w:val="BB2121"/>
          <w:sz w:val="26"/>
        </w:rPr>
        <w:t xml:space="preserve">KEY ACCREDITATIONS AND PARTNERS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5"/>
        <w:gridCol w:w="1095"/>
        <w:gridCol w:w="1095"/>
        <w:gridCol w:w="1095"/>
        <w:gridCol w:w="1095"/>
        <w:gridCol w:w="1095"/>
        <w:gridCol w:w="1095"/>
        <w:gridCol w:w="1095"/>
        <w:gridCol w:w="1095"/>
      </w:tblGrid>
      <w:tr>
        <w:trPr>
          <w:trHeight w:hRule="exact" w:val="344"/>
        </w:trPr>
        <w:tc>
          <w:tcPr>
            <w:tcW w:type="dxa" w:w="4956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65450" cy="35813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358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1920" cy="4762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47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14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ECONIMIC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Connections </w:t>
            </w:r>
          </w:p>
        </w:tc>
      </w:tr>
      <w:tr>
        <w:trPr>
          <w:trHeight w:hRule="exact" w:val="162"/>
        </w:trPr>
        <w:tc>
          <w:tcPr>
            <w:tcW w:type="dxa" w:w="4380"/>
            <w:gridSpan w:val="4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DEVELOPMENT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2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Concierge </w:t>
            </w:r>
          </w:p>
        </w:tc>
      </w:tr>
      <w:tr>
        <w:trPr>
          <w:trHeight w:hRule="exact" w:val="420"/>
        </w:trPr>
        <w:tc>
          <w:tcPr>
            <w:tcW w:type="dxa" w:w="4380"/>
            <w:gridSpan w:val="4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>BOARD (EDB)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>Partner</w:t>
            </w:r>
          </w:p>
        </w:tc>
      </w:tr>
      <w:tr>
        <w:trPr>
          <w:trHeight w:hRule="exact" w:val="460"/>
        </w:trPr>
        <w:tc>
          <w:tcPr>
            <w:tcW w:type="dxa" w:w="261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10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5730" cy="47497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730" cy="474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9479" cy="46227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79" cy="462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1989" cy="5105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89" cy="510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38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ECONIMIC </w:t>
            </w:r>
          </w:p>
        </w:tc>
        <w:tc>
          <w:tcPr>
            <w:tcW w:type="dxa" w:w="17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0" w:after="0"/>
              <w:ind w:left="0" w:right="15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Connections </w:t>
            </w:r>
          </w:p>
        </w:tc>
      </w:tr>
      <w:tr>
        <w:trPr>
          <w:trHeight w:hRule="exact" w:val="182"/>
        </w:trPr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1095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38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DEVELOPMENT </w:t>
            </w:r>
          </w:p>
        </w:tc>
        <w:tc>
          <w:tcPr>
            <w:tcW w:type="dxa" w:w="17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2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Concierge </w:t>
            </w:r>
          </w:p>
        </w:tc>
      </w:tr>
      <w:tr>
        <w:trPr>
          <w:trHeight w:hRule="exact" w:val="278"/>
        </w:trPr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1095"/>
            <w:vMerge/>
            <w:tcBorders/>
          </w:tcPr>
          <w:p/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>BOARD (EDB)</w:t>
            </w:r>
          </w:p>
        </w:tc>
        <w:tc>
          <w:tcPr>
            <w:tcW w:type="dxa" w:w="17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>Partner</w:t>
            </w:r>
          </w:p>
        </w:tc>
      </w:tr>
      <w:tr>
        <w:trPr>
          <w:trHeight w:hRule="exact" w:val="230"/>
        </w:trPr>
        <w:tc>
          <w:tcPr>
            <w:tcW w:type="dxa" w:w="14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2" w:after="0"/>
              <w:ind w:left="1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ENTERPRISE </w:t>
            </w:r>
          </w:p>
        </w:tc>
        <w:tc>
          <w:tcPr>
            <w:tcW w:type="dxa" w:w="2400"/>
            <w:gridSpan w:val="2"/>
            <w:vMerge w:val="restart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89330" cy="3873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330" cy="387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vMerge w:val="restart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8" w:after="0"/>
              <w:ind w:left="0" w:right="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30529" cy="4292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29" cy="429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95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</w:tr>
      <w:tr>
        <w:trPr>
          <w:trHeight w:hRule="exact" w:val="512"/>
        </w:trPr>
        <w:tc>
          <w:tcPr>
            <w:tcW w:type="dxa" w:w="1095"/>
            <w:vMerge/>
            <w:tcBorders/>
          </w:tcPr>
          <w:p/>
        </w:tc>
        <w:tc>
          <w:tcPr>
            <w:tcW w:type="dxa" w:w="2190"/>
            <w:gridSpan w:val="2"/>
            <w:vMerge/>
            <w:tcBorders>
              <w:bottom w:sz="9.600000381469727" w:val="single" w:color="#BFBFBF"/>
            </w:tcBorders>
          </w:tcPr>
          <w:p/>
        </w:tc>
        <w:tc>
          <w:tcPr>
            <w:tcW w:type="dxa" w:w="1095"/>
            <w:vMerge/>
            <w:tcBorders>
              <w:bottom w:sz="9.600000381469727" w:val="single" w:color="#BFBFBF"/>
            </w:tcBorders>
          </w:tcPr>
          <w:p/>
        </w:tc>
        <w:tc>
          <w:tcPr>
            <w:tcW w:type="dxa" w:w="31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2" w:after="0"/>
              <w:ind w:left="864" w:right="288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 xml:space="preserve">MINISTRY OF MANPOWER </w:t>
            </w: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>(EA - 11C3030)</w:t>
            </w:r>
          </w:p>
        </w:tc>
        <w:tc>
          <w:tcPr>
            <w:tcW w:type="dxa" w:w="171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4080" cy="39497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080" cy="394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196"/>
        </w:trPr>
        <w:tc>
          <w:tcPr>
            <w:tcW w:type="dxa" w:w="1456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404040"/>
                <w:sz w:val="15"/>
              </w:rPr>
              <w:t>SINGAPORE</w:t>
            </w:r>
          </w:p>
        </w:tc>
        <w:tc>
          <w:tcPr>
            <w:tcW w:type="dxa" w:w="2190"/>
            <w:gridSpan w:val="2"/>
            <w:vMerge/>
            <w:tcBorders>
              <w:bottom w:sz="9.600000381469727" w:val="single" w:color="#BFBFBF"/>
            </w:tcBorders>
          </w:tcPr>
          <w:p/>
        </w:tc>
        <w:tc>
          <w:tcPr>
            <w:tcW w:type="dxa" w:w="1095"/>
            <w:vMerge/>
            <w:tcBorders>
              <w:bottom w:sz="9.600000381469727" w:val="single" w:color="#BFBFBF"/>
            </w:tcBorders>
          </w:tcPr>
          <w:p/>
        </w:tc>
        <w:tc>
          <w:tcPr>
            <w:tcW w:type="dxa" w:w="3285"/>
            <w:gridSpan w:val="3"/>
            <w:vMerge/>
            <w:tcBorders/>
          </w:tcPr>
          <w:p/>
        </w:tc>
        <w:tc>
          <w:tcPr>
            <w:tcW w:type="dxa" w:w="219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4" w:lineRule="exact" w:before="142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4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202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452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12. 02. 2026</w:t>
      </w:r>
    </w:p>
    <w:p>
      <w:pPr>
        <w:autoSpaceDN w:val="0"/>
        <w:autoSpaceDE w:val="0"/>
        <w:widowControl/>
        <w:spacing w:line="245" w:lineRule="auto" w:before="280" w:after="0"/>
        <w:ind w:left="830" w:right="1022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asxa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jd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j3k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feef</w:t>
      </w:r>
    </w:p>
    <w:p>
      <w:pPr>
        <w:autoSpaceDN w:val="0"/>
        <w:autoSpaceDE w:val="0"/>
        <w:widowControl/>
        <w:spacing w:line="211" w:lineRule="auto" w:before="4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Dear asxa,</w:t>
      </w:r>
    </w:p>
    <w:p>
      <w:pPr>
        <w:autoSpaceDN w:val="0"/>
        <w:autoSpaceDE w:val="0"/>
        <w:widowControl/>
        <w:spacing w:line="199" w:lineRule="auto" w:before="286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RE: FEE PROPOSAL</w:t>
      </w:r>
    </w:p>
    <w:p>
      <w:pPr>
        <w:autoSpaceDN w:val="0"/>
        <w:autoSpaceDE w:val="0"/>
        <w:widowControl/>
        <w:spacing w:line="211" w:lineRule="auto" w:before="194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We are pleased to be presenting our proposal to you.</w:t>
      </w:r>
    </w:p>
    <w:p>
      <w:pPr>
        <w:autoSpaceDN w:val="0"/>
        <w:autoSpaceDE w:val="0"/>
        <w:widowControl/>
        <w:spacing w:line="245" w:lineRule="auto" w:before="2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Our team of experienced professionals work very closely with clients on various corporate, accounting, compliance and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governance matter and identify the unique requirements of individual organizations. As a strong believer of long-term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partnerships, we are committed to providing tailored solutions that not only meet our clients' objectives, but also giving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them a peace of mind to focus on their core businesses.</w:t>
      </w:r>
    </w:p>
    <w:p>
      <w:pPr>
        <w:autoSpaceDN w:val="0"/>
        <w:autoSpaceDE w:val="0"/>
        <w:widowControl/>
        <w:spacing w:line="245" w:lineRule="auto" w:before="2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The following pages outline our services tailor made to you and we trust that our proposal meets your expectations. We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are excited to work with you and look forward to a long and mutually beneficial working relationship with you and the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company.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,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Yours Sincerely and on behalf of In.Corp,</w:t>
      </w:r>
    </w:p>
    <w:p>
      <w:pPr>
        <w:autoSpaceDN w:val="0"/>
        <w:autoSpaceDE w:val="0"/>
        <w:widowControl/>
        <w:spacing w:line="245" w:lineRule="auto" w:before="526" w:after="5762"/>
        <w:ind w:left="830" w:right="7632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 xml:space="preserve">CA Bansi Shah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 xml:space="preserve">Lead – International clients group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>InCorp Advisory Services Pvt Ltd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5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468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4"/>
        </w:rPr>
        <w:t>SCOPE OF SERVICES</w:t>
      </w:r>
    </w:p>
    <w:p>
      <w:pPr>
        <w:autoSpaceDN w:val="0"/>
        <w:autoSpaceDE w:val="0"/>
        <w:widowControl/>
        <w:spacing w:line="199" w:lineRule="auto" w:before="900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4"/>
        </w:rPr>
        <w:t>FEES</w:t>
      </w:r>
    </w:p>
    <w:p>
      <w:pPr>
        <w:autoSpaceDN w:val="0"/>
        <w:autoSpaceDE w:val="0"/>
        <w:widowControl/>
        <w:spacing w:line="247" w:lineRule="auto" w:before="384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This section outlines the estimated fees for InCorp's services of your company. Our fee structure includes initial setup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fees, as well as ongoing charges that may be billed monthly, quarterly, or annually. Additionally, fees may be incurred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based on the time spent on specific tasks or on a per-instance basis. For any additional services not encompassed by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this proposal that may incur, additional charges, we will receive your approval before any work commences. Please note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that all fees mentioned are in US Dollars, exclusive of the prevailing Goods and Services Tax (GST) / Value Added Tax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(VAT).</w:t>
      </w:r>
    </w:p>
    <w:p>
      <w:pPr>
        <w:autoSpaceDN w:val="0"/>
        <w:autoSpaceDE w:val="0"/>
        <w:widowControl/>
        <w:spacing w:line="199" w:lineRule="auto" w:before="366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A. One time Handover Service</w:t>
      </w:r>
    </w:p>
    <w:p>
      <w:pPr>
        <w:autoSpaceDN w:val="0"/>
        <w:autoSpaceDE w:val="0"/>
        <w:widowControl/>
        <w:spacing w:line="245" w:lineRule="auto" w:before="334" w:after="19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Since the company has been in existence since 35vfe, we shall need to undertake a handover of the current financial,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secretarial, payroll and other records of the company from current service provider.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845"/>
        <w:gridCol w:w="3845"/>
        <w:gridCol w:w="3845"/>
      </w:tblGrid>
      <w:tr>
        <w:trPr>
          <w:trHeight w:hRule="exact" w:val="560"/>
        </w:trPr>
        <w:tc>
          <w:tcPr>
            <w:tcW w:type="dxa" w:w="633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215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Fee (In USD)</w:t>
            </w:r>
          </w:p>
        </w:tc>
      </w:tr>
      <w:tr>
        <w:trPr>
          <w:trHeight w:hRule="exact" w:val="2000"/>
        </w:trPr>
        <w:tc>
          <w:tcPr>
            <w:tcW w:type="dxa" w:w="633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152" w:firstLine="0"/>
              <w:jc w:val="both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Handover from erstwhile service provider of various records under </w:t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laws as mentioned below. This process does not entail conducting a </w:t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due diligence.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36" w:right="2592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GST laws/regulations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Income Tax Act, 1961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Company's Act, 2013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Foreign Exchange Rules &amp; Regulations</w:t>
            </w:r>
          </w:p>
        </w:tc>
        <w:tc>
          <w:tcPr>
            <w:tcW w:type="dxa" w:w="216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One-time</w:t>
            </w:r>
          </w:p>
        </w:tc>
        <w:tc>
          <w:tcPr>
            <w:tcW w:type="dxa" w:w="215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0"/>
        <w:ind w:left="830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*Any fees for rectification (or) completion of pending past compliances shall attract additional fees and we shall seek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your approval prior to commencement of that work.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45" w:lineRule="auto" w:before="280" w:after="0"/>
        <w:ind w:left="830" w:right="3168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Professional fees exclude any fees towards regularisation of past non compliances.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and not specifically agreed separately shall be chargeable as under: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446" w:after="308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B. Incorporation / Secretarial Service and Mandatory Registrations post Incorporation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278"/>
        </w:trPr>
        <w:tc>
          <w:tcPr>
            <w:tcW w:type="dxa" w:w="820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1"/>
        </w:trPr>
        <w:tc>
          <w:tcPr>
            <w:tcW w:type="dxa" w:w="8206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One-time Fee</w:t>
            </w:r>
          </w:p>
        </w:tc>
      </w:tr>
    </w:tbl>
    <w:p>
      <w:pPr>
        <w:autoSpaceDN w:val="0"/>
        <w:autoSpaceDE w:val="0"/>
        <w:widowControl/>
        <w:spacing w:line="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6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0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800"/>
        </w:trPr>
        <w:tc>
          <w:tcPr>
            <w:tcW w:type="dxa" w:w="820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230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FCGPR Filing with Reserve Bank of India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Filing of Forms and declaration with RBI as required under FEMA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2482"/>
        </w:trPr>
        <w:tc>
          <w:tcPr>
            <w:tcW w:type="dxa" w:w="8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auto" w:before="204" w:after="0"/>
              <w:ind w:left="36" w:right="144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Statutory Compliances with Registrar of Companies under Companies Act: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Drafting of first board meeting documents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Guidance on capital infusion in bank account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File form with Ministry for commencement of business (COC)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Preparation of statutory shareholders register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11" w:lineRule="auto" w:before="294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52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Professional fees exclude all out-of-pocket expenses like filing fees, courier expenses, apostilling &amp; notary cost to 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authorities/departments, statutory fees payable to Registrar of companies (ROC) towards incorporation etc. other than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those mentioned above.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On finalization of shareholding structure, we shall be able to guide on compliances needed for issuance of share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certificates and shall share a separate fee quote for the same.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and not specifically agreed separately shall be chargeable as under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366" w:after="328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Optional registrations required post incorporation (One-time)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559"/>
        </w:trPr>
        <w:tc>
          <w:tcPr>
            <w:tcW w:type="dxa" w:w="820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Fees (In USD)</w:t>
            </w:r>
          </w:p>
        </w:tc>
      </w:tr>
      <w:tr>
        <w:trPr>
          <w:trHeight w:hRule="exact" w:val="561"/>
        </w:trPr>
        <w:tc>
          <w:tcPr>
            <w:tcW w:type="dxa" w:w="820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00" w:after="0"/>
              <w:ind w:left="3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Import Export Code (IEC Code)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280"/>
        </w:trPr>
        <w:tc>
          <w:tcPr>
            <w:tcW w:type="dxa" w:w="82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02" w:after="0"/>
              <w:ind w:left="36" w:right="14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Profession Tax (PT)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•Payments and return filing for company, its employees until the company's certificate of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commencement is obtained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238" w:after="0"/>
        <w:ind w:left="830" w:right="216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C00000"/>
          <w:sz w:val="20"/>
        </w:rPr>
        <w:t xml:space="preserve">*For every new director's professional tax no., there shall be additional cost of $100 per director </w:t>
      </w:r>
      <w:r>
        <w:rPr>
          <w:rFonts w:ascii="Microsoft Sans Serif" w:hAnsi="Microsoft Sans Serif" w:eastAsia="Microsoft Sans Serif"/>
          <w:b w:val="0"/>
          <w:i w:val="0"/>
          <w:color w:val="C00000"/>
          <w:sz w:val="20"/>
        </w:rPr>
        <w:t>*Digital signature certificate (DSC) token can be obtained at a cost of USD 200 per applicant.</w:t>
      </w:r>
    </w:p>
    <w:p>
      <w:pPr>
        <w:autoSpaceDN w:val="0"/>
        <w:autoSpaceDE w:val="0"/>
        <w:widowControl/>
        <w:spacing w:line="211" w:lineRule="auto" w:before="40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848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7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692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Professional fees exclude all out-of-pocket expenses like filing fees, courier expenses, apostilling &amp; notary cost to 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authorities/departments, statutory fees payable to Registrar of companies (ROC) towards incorporation etc. other than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those mentioned above.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*Any other services not specifically quoted above and not specifically agreed separately shall be chargeable as under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286" w:after="35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Nominee Director and Registered Office Address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440"/>
        </w:trPr>
        <w:tc>
          <w:tcPr>
            <w:tcW w:type="dxa" w:w="8208"/>
            <w:tcBorders>
              <w:bottom w:sz="6.0" w:val="single" w:color="#000000"/>
            </w:tcBorders>
            <w:shd w:fill="fff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0"/>
            <w:tcBorders>
              <w:bottom w:sz="6.0" w:val="single" w:color="#000000"/>
            </w:tcBorders>
            <w:shd w:fill="fff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Monthly Fee(in USD)</w:t>
            </w:r>
          </w:p>
        </w:tc>
      </w:tr>
      <w:tr>
        <w:trPr>
          <w:trHeight w:hRule="exact" w:val="3800"/>
        </w:trPr>
        <w:tc>
          <w:tcPr>
            <w:tcW w:type="dxa" w:w="820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36" w:right="14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Nominee Director Service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A refundable Security deposit per nominee @USD 5000 applies*. Refundable upon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cessation of Nominee Director Service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6" w:right="144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Director's fee for attending a physical or recorded or live board meeting @USD300 per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director per board meeting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6" w:right="1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Every nominee director needs to be protected under a director's indemnity policy. Premium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of indemnity bond to be charged on actual basis. InCorp shall enter into a separate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nominee directors' agreement at the time of engagement.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6" w:right="1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To ensure the removal of a nominee director from registrations ***with various authorities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where required, InCorp must be notified at least three months in advance. Additionally,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professional fees for this service will continue to be charged until the removal is reflected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by all relevant authorities as well as Bank &amp; new director is appointed in his place.</w:t>
            </w:r>
          </w:p>
        </w:tc>
        <w:tc>
          <w:tcPr>
            <w:tcW w:type="dxa" w:w="216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44" w:after="0"/>
        <w:ind w:left="830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*Failure to engage InCorp's services for regular compliances of the company post the setup such as tax, secretarial,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FEMA etc. shall result in forfeiture of the security deposit received against nominee director and registered office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services.</w:t>
      </w:r>
    </w:p>
    <w:p>
      <w:pPr>
        <w:autoSpaceDN w:val="0"/>
        <w:autoSpaceDE w:val="0"/>
        <w:widowControl/>
        <w:spacing w:line="245" w:lineRule="auto" w:before="200" w:after="0"/>
        <w:ind w:left="830" w:right="288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**Any fees for rectification (or) completion of pending past compliances shall attract additional fees and we shall seek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your approval prior to commencement of that work.</w:t>
      </w:r>
    </w:p>
    <w:p>
      <w:pPr>
        <w:autoSpaceDN w:val="0"/>
        <w:autoSpaceDE w:val="0"/>
        <w:widowControl/>
        <w:spacing w:line="245" w:lineRule="auto" w:before="200" w:after="0"/>
        <w:ind w:left="830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*** The Nominee Director shall not sign any return, forms or documents relating to any statutory filing nor will be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appointed as the authorized signatory to any of the bank accounts of the entity or under GST, Income Tax any other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government portal. The Company may consider appointing one of its key managerial personnel as the authorised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signatory across all government portals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The Nominee Director will not be involved in day-to-day affairs / management of the Company. He/She shall not sign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any return, forms or documents relating to any statutory filing.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The service of Registered office &amp; Nominee director is offered on discretionary basis only for temporary basis of 6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months. Such services are provided only in case of successful completion of Internal Customer Due diligence at InCorp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and formal engagement of Incorp for all the compliances (tax, secretarial, FEMA etc.) post incorporation of the company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for the regular maintenance of the company.</w:t>
      </w:r>
    </w:p>
    <w:p>
      <w:pPr>
        <w:autoSpaceDN w:val="0"/>
        <w:autoSpaceDE w:val="0"/>
        <w:widowControl/>
        <w:spacing w:line="211" w:lineRule="auto" w:before="40" w:after="728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•Failure to engage InCorp's services for regular compliances of the company post the setup such as tax, secretarial,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8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52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FEMA etc. shall result in forfeiture of the security deposit received against registered office and nominee director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services.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•Professional fees exclude all out-of-pocket expenses like filing fees, courier expenses, apostilling &amp; notary cost to 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authorities/departments, statutory fees payable to Registrar of companies (ROC) towards incorporation etc. other than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those mentioned above.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shall be chargeable as under: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446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C. Accounting / Tax / Payroll / Annual Compliance Services</w:t>
      </w:r>
    </w:p>
    <w:p>
      <w:pPr>
        <w:autoSpaceDN w:val="0"/>
        <w:autoSpaceDE w:val="0"/>
        <w:widowControl/>
        <w:spacing w:line="245" w:lineRule="auto" w:before="414" w:after="192"/>
        <w:ind w:left="830" w:right="576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The below quotation is our base fees for first year of business with limited volume of transactions and may change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depending upon volume of work and nature of transactions: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2883"/>
        <w:gridCol w:w="2883"/>
        <w:gridCol w:w="2883"/>
        <w:gridCol w:w="2883"/>
      </w:tblGrid>
      <w:tr>
        <w:trPr>
          <w:trHeight w:hRule="exact" w:val="399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Notes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Fees (in USD)</w:t>
            </w:r>
          </w:p>
        </w:tc>
      </w:tr>
      <w:tr>
        <w:trPr>
          <w:trHeight w:hRule="exact" w:val="1601"/>
        </w:trPr>
        <w:tc>
          <w:tcPr>
            <w:tcW w:type="dxa" w:w="187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16" w:right="576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Direct tax </w:t>
            </w:r>
            <w:r>
              <w:br/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compliances</w:t>
            </w:r>
          </w:p>
        </w:tc>
        <w:tc>
          <w:tcPr>
            <w:tcW w:type="dxa" w:w="187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Monthly/Quarterly</w:t>
            </w:r>
          </w:p>
        </w:tc>
        <w:tc>
          <w:tcPr>
            <w:tcW w:type="dxa" w:w="460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44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2) TDS compliances: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Calculation and Payment of TDS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Filing of TDS Returns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(The above excludes cost of revisions of TDS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returns)</w:t>
            </w:r>
          </w:p>
        </w:tc>
        <w:tc>
          <w:tcPr>
            <w:tcW w:type="dxa" w:w="201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1600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16" w:right="576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Indirect tax </w:t>
            </w:r>
            <w:r>
              <w:br/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compliances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Monthly and Annual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1296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1) GST Compliances: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Calculations and payment of GST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Filing of monthly GST Returns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(The above excludes Annual returns of GST and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revision of GST returns)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1600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Accounting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One time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16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Setup of accounting software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Liaison with the software expert for the setup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• Ensure due configuration of the software with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applicable laws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• Short tutorial on guidance with respect to use of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accounting software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1120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22" w:after="0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Payroll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One time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1. Obtaining Shop and establishment registration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under Karnataka Shop and establishment act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2. Drafting of POSH (Prevention of Sexual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Harassment at Workplace) policy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8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16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Total costs (excluding one time costs)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 per annum</w:t>
            </w:r>
          </w:p>
        </w:tc>
      </w:tr>
      <w:tr>
        <w:trPr>
          <w:trHeight w:hRule="exact" w:val="400"/>
        </w:trPr>
        <w:tc>
          <w:tcPr>
            <w:tcW w:type="dxa" w:w="8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16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One-time costs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 one time</w:t>
            </w:r>
          </w:p>
        </w:tc>
      </w:tr>
    </w:tbl>
    <w:p>
      <w:pPr>
        <w:autoSpaceDN w:val="0"/>
        <w:autoSpaceDE w:val="0"/>
        <w:widowControl/>
        <w:spacing w:line="211" w:lineRule="auto" w:before="238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*The above quotation fee is for approx.20 transactions per month</w:t>
      </w:r>
    </w:p>
    <w:p>
      <w:pPr>
        <w:autoSpaceDN w:val="0"/>
        <w:autoSpaceDE w:val="0"/>
        <w:widowControl/>
        <w:spacing w:line="245" w:lineRule="auto" w:before="80" w:after="628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InCorp's empanelled audit partners can offer the services of statutory audit (applicable to all), tax audit (applicable on if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Turnover exceeds Rs. 100 Mn) and GST audit services (If Turnover exceeds Rs. 50 Mn) and transfer pricing reporting &amp;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9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52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audit (applicable for companies having intercompany transactions). The quotes for the same can be provided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separately.</w:t>
      </w:r>
    </w:p>
    <w:p>
      <w:pPr>
        <w:autoSpaceDN w:val="0"/>
        <w:autoSpaceDE w:val="0"/>
        <w:widowControl/>
        <w:spacing w:line="245" w:lineRule="auto" w:before="2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^Audit partner firms (Jayesh Sanghrajka &amp;Associates;, Manish Modi &amp;Associates;) shall be able to assist on that front.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The estimated statutory fee quote for the first FY shall be between USD 2500 TO USD 3500.The auditor shall be able to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provide the final fee quote closer to year end March 2025 depending on the nature and complexity of transactions.</w:t>
      </w:r>
    </w:p>
    <w:p>
      <w:pPr>
        <w:autoSpaceDN w:val="0"/>
        <w:autoSpaceDE w:val="0"/>
        <w:widowControl/>
        <w:spacing w:line="211" w:lineRule="auto" w:before="12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Professional fees exclude all out-of-pocket expenses like filing fees, courier expenses, government/statutory fees etc.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shall be chargeable as under: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506" w:after="348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D. Transfer Pricing compliances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2883"/>
        <w:gridCol w:w="2883"/>
        <w:gridCol w:w="2883"/>
        <w:gridCol w:w="2883"/>
      </w:tblGrid>
      <w:tr>
        <w:trPr>
          <w:trHeight w:hRule="exact" w:val="559"/>
        </w:trPr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475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Notes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Fee (In USD)</w:t>
            </w:r>
          </w:p>
        </w:tc>
      </w:tr>
      <w:tr>
        <w:trPr>
          <w:trHeight w:hRule="exact" w:val="2481"/>
        </w:trPr>
        <w:tc>
          <w:tcPr>
            <w:tcW w:type="dxa" w:w="201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576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Inter-company </w:t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agreement</w:t>
            </w:r>
          </w:p>
        </w:tc>
        <w:tc>
          <w:tcPr>
            <w:tcW w:type="dxa" w:w="158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One-time</w:t>
            </w:r>
          </w:p>
        </w:tc>
        <w:tc>
          <w:tcPr>
            <w:tcW w:type="dxa" w:w="475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96" w:after="2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Drafting and finalizing of Inter-company service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950"/>
              <w:gridCol w:w="950"/>
              <w:gridCol w:w="950"/>
              <w:gridCol w:w="950"/>
              <w:gridCol w:w="950"/>
            </w:tblGrid>
            <w:tr>
              <w:trPr>
                <w:trHeight w:hRule="exact" w:val="240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agreement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covering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detailed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description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>of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0" w:after="20"/>
              <w:ind w:left="152" w:right="1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service to be provided, components to be included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while calculating cost of services, Invoicing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period, Receivable cycle, withholding, ownership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rights, effective date of agreement, indemnity etc.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rHeight w:hRule="exact" w:val="240"/>
              </w:trPr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in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compliance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with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the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Transfer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>Pricing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0" w:after="0"/>
              <w:ind w:left="152" w:right="144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regulations defined under Income tax laws and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other applicable Indian laws</w:t>
            </w:r>
          </w:p>
        </w:tc>
        <w:tc>
          <w:tcPr>
            <w:tcW w:type="dxa" w:w="201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560"/>
        </w:trPr>
        <w:tc>
          <w:tcPr>
            <w:tcW w:type="dxa" w:w="8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96" w:after="0"/>
              <w:ind w:left="3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Total one-time costs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238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*Please note that the above benchmarking report will not be transfer pricing documentation as required to be maintained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under transfer pricing regulations. InCorp's empanelled audit partners can assist with the transfer pricing reporting &amp;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audit (applicable for companies having intercompany transactions). The quotes for the same can be provided separately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Professional fees exclude all out-of-pocket expenses.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Advance of 100% of the above selected option. • * Any other services not specifically quoted above shall be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chargeable as under: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80" w:after="908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For Associates: USD 200 per Hour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6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10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452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^ InCorp's empanelled audit partners can assist with the transfer pricing reporting &amp; audit (applicable for companies</w:t>
      </w:r>
    </w:p>
    <w:p>
      <w:pPr>
        <w:autoSpaceDN w:val="0"/>
        <w:autoSpaceDE w:val="0"/>
        <w:widowControl/>
        <w:spacing w:line="211" w:lineRule="auto" w:before="40" w:after="12568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having intercompany transactions). The quotes for the same can be provided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6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11 of 20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6" w:lineRule="exact" w:before="134" w:after="168"/>
        <w:ind w:left="94" w:right="4752" w:firstLine="0"/>
        <w:jc w:val="left"/>
      </w:pPr>
      <w:r>
        <w:rPr>
          <w:u w:val="single" w:color="2f4659"/>
          <w:w w:val="98.65285782586962"/>
          <w:rFonts w:ascii="CIDFont+F5" w:hAnsi="CIDFont+F5" w:eastAsia="CIDFont+F5"/>
          <w:b w:val="0"/>
          <w:i w:val="0"/>
          <w:color w:val="2F465A"/>
          <w:sz w:val="21"/>
        </w:rPr>
        <w:t>Annexure 1</w:t>
      </w:r>
      <w:r>
        <w:rPr>
          <w:w w:val="98.65285782586962"/>
          <w:rFonts w:ascii="CIDFont+F5" w:hAnsi="CIDFont+F5" w:eastAsia="CIDFont+F5"/>
          <w:b w:val="0"/>
          <w:i w:val="0"/>
          <w:color w:val="2F465A"/>
          <w:sz w:val="21"/>
        </w:rPr>
        <w:t xml:space="preserve"> </w:t>
      </w:r>
      <w:r>
        <w:br/>
      </w:r>
      <w:r>
        <w:rPr>
          <w:w w:val="98.37079299123663"/>
          <w:rFonts w:ascii="CIDFont+F2" w:hAnsi="CIDFont+F2" w:eastAsia="CIDFont+F2"/>
          <w:b/>
          <w:i w:val="0"/>
          <w:color w:val="404040"/>
          <w:sz w:val="19"/>
        </w:rPr>
        <w:t xml:space="preserve">A)  Preparation of Company Secretary Documents/Registers: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512"/>
        <w:gridCol w:w="2512"/>
        <w:gridCol w:w="2512"/>
        <w:gridCol w:w="2512"/>
      </w:tblGrid>
      <w:tr>
        <w:trPr>
          <w:trHeight w:hRule="exact" w:val="652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 xml:space="preserve">Sr. 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 xml:space="preserve">No. </w:t>
            </w:r>
          </w:p>
        </w:tc>
        <w:tc>
          <w:tcPr>
            <w:tcW w:type="dxa" w:w="38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>Particulars</w:t>
            </w:r>
          </w:p>
        </w:tc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288" w:firstLine="0"/>
              <w:jc w:val="left"/>
            </w:pP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 xml:space="preserve">Filing </w:t>
            </w:r>
            <w:r>
              <w:br/>
            </w: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 xml:space="preserve">Required </w:t>
            </w: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 xml:space="preserve">(Y/N) 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5" w:hAnsi="CIDFont+F5" w:eastAsia="CIDFont+F5"/>
                <w:b w:val="0"/>
                <w:i w:val="0"/>
                <w:color w:val="2F465A"/>
                <w:sz w:val="18"/>
              </w:rPr>
              <w:t>Statutory Requirement</w:t>
            </w:r>
          </w:p>
        </w:tc>
      </w:tr>
      <w:tr>
        <w:trPr>
          <w:trHeight w:hRule="exact" w:val="1318"/>
        </w:trPr>
        <w:tc>
          <w:tcPr>
            <w:tcW w:type="dxa" w:w="530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1 </w:t>
            </w:r>
          </w:p>
        </w:tc>
        <w:tc>
          <w:tcPr>
            <w:tcW w:type="dxa" w:w="389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8"/>
              <w:ind w:left="98" w:right="50" w:firstLine="0"/>
              <w:jc w:val="both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Agenda, Notice and draft Board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resolutions for the Board meeting by the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information provided by the company during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556"/>
              <w:gridCol w:w="556"/>
              <w:gridCol w:w="556"/>
              <w:gridCol w:w="556"/>
              <w:gridCol w:w="556"/>
              <w:gridCol w:w="556"/>
              <w:gridCol w:w="556"/>
            </w:tblGrid>
            <w:tr>
              <w:trPr>
                <w:trHeight w:hRule="exact" w:val="232"/>
              </w:trPr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the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period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of 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assignment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as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per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8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2" w:lineRule="exact" w:before="8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requirements of Companies Act 2013. </w:t>
            </w:r>
          </w:p>
        </w:tc>
        <w:tc>
          <w:tcPr>
            <w:tcW w:type="dxa" w:w="11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N </w:t>
            </w:r>
          </w:p>
        </w:tc>
        <w:tc>
          <w:tcPr>
            <w:tcW w:type="dxa" w:w="442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94" w:right="58" w:firstLine="0"/>
              <w:jc w:val="both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Minimum 4 Board Meetings with a gap not more than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120 days between 2 consecutive meetings – Section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173 </w:t>
            </w:r>
          </w:p>
          <w:p>
            <w:pPr>
              <w:autoSpaceDN w:val="0"/>
              <w:autoSpaceDE w:val="0"/>
              <w:widowControl/>
              <w:spacing w:line="214" w:lineRule="exact" w:before="55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(upto 5 board meeting a year) </w:t>
            </w:r>
          </w:p>
        </w:tc>
      </w:tr>
      <w:tr>
        <w:trPr>
          <w:trHeight w:hRule="exact" w:val="854"/>
        </w:trPr>
        <w:tc>
          <w:tcPr>
            <w:tcW w:type="dxa" w:w="530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2 </w:t>
            </w:r>
          </w:p>
        </w:tc>
        <w:tc>
          <w:tcPr>
            <w:tcW w:type="dxa" w:w="389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98" w:right="52" w:firstLine="0"/>
              <w:jc w:val="both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Minutes and Attendance Sheet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of Board Meeting as per the requirements of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Companies Act 2013. </w:t>
            </w:r>
          </w:p>
        </w:tc>
        <w:tc>
          <w:tcPr>
            <w:tcW w:type="dxa" w:w="117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N </w:t>
            </w:r>
          </w:p>
        </w:tc>
        <w:tc>
          <w:tcPr>
            <w:tcW w:type="dxa" w:w="251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85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type="dxa" w:w="38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98" w:right="50" w:firstLine="0"/>
              <w:jc w:val="both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Disclosures u/s 184 of the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Companies Act, 2013 for all directors of the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Company. </w:t>
            </w:r>
          </w:p>
        </w:tc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Every year such disclosures need to be made in first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Board meeting &amp; wherever any change occurs </w:t>
            </w:r>
          </w:p>
        </w:tc>
      </w:tr>
      <w:tr>
        <w:trPr>
          <w:trHeight w:hRule="exact" w:val="854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W w:type="dxa" w:w="38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98" w:right="50" w:firstLine="0"/>
              <w:jc w:val="both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Declaration u/s 164 of the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Companies Act, 2013 for all directors of the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Company. </w:t>
            </w:r>
          </w:p>
        </w:tc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N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Disqualification of Director</w:t>
            </w:r>
          </w:p>
        </w:tc>
      </w:tr>
      <w:tr>
        <w:trPr>
          <w:trHeight w:hRule="exact" w:val="626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5 </w:t>
            </w:r>
          </w:p>
        </w:tc>
        <w:tc>
          <w:tcPr>
            <w:tcW w:type="dxa" w:w="389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Notice of Annual General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Meeting </w:t>
            </w:r>
          </w:p>
        </w:tc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N 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To be held once every year (Section 96) </w:t>
            </w:r>
          </w:p>
        </w:tc>
      </w:tr>
      <w:tr>
        <w:trPr>
          <w:trHeight w:hRule="exact" w:val="390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6</w:t>
            </w:r>
          </w:p>
        </w:tc>
        <w:tc>
          <w:tcPr>
            <w:tcW w:type="dxa" w:w="38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Preparation of Board / Directors Report</w:t>
            </w:r>
          </w:p>
        </w:tc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Board report shall such as specified under section 134</w:t>
            </w:r>
          </w:p>
        </w:tc>
      </w:tr>
      <w:tr>
        <w:trPr>
          <w:trHeight w:hRule="exact" w:val="624"/>
        </w:trPr>
        <w:tc>
          <w:tcPr>
            <w:tcW w:type="dxa" w:w="530"/>
            <w:tcBorders>
              <w:start w:sz="4.0" w:val="single" w:color="#000000"/>
              <w:top w:sz="3.200000000000273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7 </w:t>
            </w:r>
          </w:p>
        </w:tc>
        <w:tc>
          <w:tcPr>
            <w:tcW w:type="dxa" w:w="389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Annual Return as per Section 92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of the Companies Act 2013 </w:t>
            </w:r>
          </w:p>
        </w:tc>
        <w:tc>
          <w:tcPr>
            <w:tcW w:type="dxa" w:w="117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44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To be prepared &amp; filed once every year as specified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under section 92 </w:t>
            </w:r>
          </w:p>
        </w:tc>
      </w:tr>
      <w:tr>
        <w:trPr>
          <w:trHeight w:hRule="exact" w:val="1316"/>
        </w:trPr>
        <w:tc>
          <w:tcPr>
            <w:tcW w:type="dxa" w:w="530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8</w:t>
            </w:r>
          </w:p>
        </w:tc>
        <w:tc>
          <w:tcPr>
            <w:tcW w:type="dxa" w:w="389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8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documents such as Statutory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Auditors Appointment Letter, Annual General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972"/>
              <w:gridCol w:w="972"/>
              <w:gridCol w:w="972"/>
              <w:gridCol w:w="972"/>
            </w:tblGrid>
            <w:tr>
              <w:trPr>
                <w:trHeight w:hRule="exact" w:val="232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" w:after="0"/>
                    <w:ind w:left="60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Meeting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" w:after="0"/>
                    <w:ind w:left="0" w:right="0" w:firstLine="0"/>
                    <w:jc w:val="righ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Resolution </w:t>
                  </w:r>
                </w:p>
              </w:tc>
              <w:tc>
                <w:tcPr>
                  <w:tcW w:type="dxa" w:w="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242" w:after="0"/>
                    <w:ind w:left="2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of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" w:after="0"/>
                    <w:ind w:left="0" w:right="28" w:firstLine="0"/>
                    <w:jc w:val="righ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for </w:t>
                  </w:r>
                </w:p>
              </w:tc>
            </w:tr>
            <w:tr>
              <w:trPr>
                <w:trHeight w:hRule="exact" w:val="232"/>
              </w:trPr>
              <w:tc>
                <w:tcPr>
                  <w:tcW w:type="dxa" w:w="2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" w:after="0"/>
                    <w:ind w:left="60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appointment/reappointment </w:t>
                  </w:r>
                </w:p>
              </w:tc>
              <w:tc>
                <w:tcPr>
                  <w:tcW w:type="dxa" w:w="972"/>
                  <w:vMerge/>
                  <w:tcBorders/>
                </w:tcPr>
                <w:p/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" w:after="0"/>
                    <w:ind w:left="124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Statutory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Auditor </w:t>
            </w:r>
          </w:p>
        </w:tc>
        <w:tc>
          <w:tcPr>
            <w:tcW w:type="dxa" w:w="11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44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To be prepared &amp; filed once every year as specified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under section 139 </w:t>
            </w:r>
          </w:p>
        </w:tc>
      </w:tr>
      <w:tr>
        <w:trPr>
          <w:trHeight w:hRule="exact" w:val="852"/>
        </w:trPr>
        <w:tc>
          <w:tcPr>
            <w:tcW w:type="dxa" w:w="530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9</w:t>
            </w:r>
          </w:p>
        </w:tc>
        <w:tc>
          <w:tcPr>
            <w:tcW w:type="dxa" w:w="389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98" w:right="52" w:firstLine="0"/>
              <w:jc w:val="both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documents for regularization of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directors through Annual General Meeting, if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any </w:t>
            </w:r>
          </w:p>
        </w:tc>
        <w:tc>
          <w:tcPr>
            <w:tcW w:type="dxa" w:w="1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Event Basis</w:t>
            </w:r>
          </w:p>
        </w:tc>
        <w:tc>
          <w:tcPr>
            <w:tcW w:type="dxa" w:w="4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</w:tr>
      <w:tr>
        <w:trPr>
          <w:trHeight w:hRule="exact" w:val="624"/>
        </w:trPr>
        <w:tc>
          <w:tcPr>
            <w:tcW w:type="dxa" w:w="530"/>
            <w:tcBorders>
              <w:start w:sz="4.0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10 </w:t>
            </w:r>
          </w:p>
        </w:tc>
        <w:tc>
          <w:tcPr>
            <w:tcW w:type="dxa" w:w="389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Compliance relation to Significant Beneficial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Ownership, if any </w:t>
            </w:r>
          </w:p>
        </w:tc>
        <w:tc>
          <w:tcPr>
            <w:tcW w:type="dxa" w:w="11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44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Intimation of Significant Beneficial Ownership, if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applicable </w:t>
            </w:r>
          </w:p>
        </w:tc>
      </w:tr>
      <w:tr>
        <w:trPr>
          <w:trHeight w:hRule="exact" w:val="1744"/>
        </w:trPr>
        <w:tc>
          <w:tcPr>
            <w:tcW w:type="dxa" w:w="530"/>
            <w:tcBorders>
              <w:start w:sz="4.0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11</w:t>
            </w:r>
          </w:p>
        </w:tc>
        <w:tc>
          <w:tcPr>
            <w:tcW w:type="dxa" w:w="389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106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Updating and Maintenance of the statutory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registers once annually like –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8.0000000000001" w:type="dxa"/>
            </w:tblPr>
            <w:tblGrid>
              <w:gridCol w:w="1945"/>
              <w:gridCol w:w="1945"/>
            </w:tblGrid>
            <w:tr>
              <w:trPr>
                <w:trHeight w:hRule="exact" w:val="1162"/>
              </w:trPr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54" w:after="0"/>
                    <w:ind w:left="238" w:right="120" w:firstLine="0"/>
                    <w:jc w:val="both"/>
                  </w:pPr>
                  <w:r>
                    <w:rPr>
                      <w:w w:val="98.831664191352"/>
                      <w:rFonts w:ascii="CIDFont+F8" w:hAnsi="CIDFont+F8" w:eastAsia="CIDFont+F8"/>
                      <w:b w:val="0"/>
                      <w:i w:val="0"/>
                      <w:color w:val="404040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w w:val="98.831664191352"/>
                      <w:rFonts w:ascii="CIDFont+F8" w:hAnsi="CIDFont+F8" w:eastAsia="CIDFont+F8"/>
                      <w:b w:val="0"/>
                      <w:i w:val="0"/>
                      <w:color w:val="404040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w w:val="98.831664191352"/>
                      <w:rFonts w:ascii="CIDFont+F8" w:hAnsi="CIDFont+F8" w:eastAsia="CIDFont+F8"/>
                      <w:b w:val="0"/>
                      <w:i w:val="0"/>
                      <w:color w:val="404040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w w:val="98.831664191352"/>
                      <w:rFonts w:ascii="CIDFont+F8" w:hAnsi="CIDFont+F8" w:eastAsia="CIDFont+F8"/>
                      <w:b w:val="0"/>
                      <w:i w:val="0"/>
                      <w:color w:val="404040"/>
                      <w:sz w:val="18"/>
                    </w:rPr>
                    <w:t></w:t>
                  </w:r>
                  <w:r>
                    <w:br/>
                  </w:r>
                  <w:r>
                    <w:rPr>
                      <w:w w:val="98.831664191352"/>
                      <w:rFonts w:ascii="CIDFont+F8" w:hAnsi="CIDFont+F8" w:eastAsia="CIDFont+F8"/>
                      <w:b w:val="0"/>
                      <w:i w:val="0"/>
                      <w:color w:val="404040"/>
                      <w:sz w:val="18"/>
                    </w:rPr>
                    <w:t>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4" w:lineRule="exact" w:before="60" w:after="0"/>
                    <w:ind w:left="136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Register of members </w:t>
                  </w:r>
                  <w:r>
                    <w:br/>
                  </w: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Register of Directors </w:t>
                  </w:r>
                  <w:r>
                    <w:br/>
                  </w: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Registers of Director’s shareholding </w:t>
                  </w: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Register of Contracts </w:t>
                  </w:r>
                  <w:r>
                    <w:br/>
                  </w: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Register of Charge etc.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N</w:t>
            </w:r>
          </w:p>
        </w:tc>
        <w:tc>
          <w:tcPr>
            <w:tcW w:type="dxa" w:w="44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As required under various provisions of the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Companies Act, 2013 </w:t>
            </w:r>
          </w:p>
        </w:tc>
      </w:tr>
    </w:tbl>
    <w:p>
      <w:pPr>
        <w:autoSpaceDN w:val="0"/>
        <w:autoSpaceDE w:val="0"/>
        <w:widowControl/>
        <w:spacing w:line="224" w:lineRule="exact" w:before="396" w:after="0"/>
        <w:ind w:left="94" w:right="0" w:firstLine="0"/>
        <w:jc w:val="left"/>
      </w:pPr>
      <w:r>
        <w:rPr>
          <w:w w:val="98.37079299123663"/>
          <w:rFonts w:ascii="CIDFont+F2" w:hAnsi="CIDFont+F2" w:eastAsia="CIDFont+F2"/>
          <w:b/>
          <w:i w:val="0"/>
          <w:color w:val="404040"/>
          <w:sz w:val="19"/>
        </w:rPr>
        <w:t xml:space="preserve">B) Submission with Ministry of Corporate Affairs - MCA (ROC) </w:t>
      </w:r>
    </w:p>
    <w:p>
      <w:pPr>
        <w:autoSpaceDN w:val="0"/>
        <w:autoSpaceDE w:val="0"/>
        <w:widowControl/>
        <w:spacing w:line="184" w:lineRule="exact" w:before="368" w:after="0"/>
        <w:ind w:left="94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14 of 21 </w:t>
      </w:r>
    </w:p>
    <w:p>
      <w:pPr>
        <w:autoSpaceDN w:val="0"/>
        <w:autoSpaceDE w:val="0"/>
        <w:widowControl/>
        <w:spacing w:line="138" w:lineRule="exact" w:before="186" w:after="0"/>
        <w:ind w:left="94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94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088" w:bottom="338" w:left="1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28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983"/>
        <w:gridCol w:w="1983"/>
        <w:gridCol w:w="1983"/>
        <w:gridCol w:w="1983"/>
        <w:gridCol w:w="1983"/>
      </w:tblGrid>
      <w:tr>
        <w:trPr>
          <w:trHeight w:hRule="exact" w:val="854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Sr. </w:t>
            </w:r>
          </w:p>
          <w:p>
            <w:pPr>
              <w:autoSpaceDN w:val="0"/>
              <w:autoSpaceDE w:val="0"/>
              <w:widowControl/>
              <w:spacing w:line="214" w:lineRule="exact" w:before="2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No. 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Particulars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Periodicity 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94" w:right="144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Filing </w:t>
            </w:r>
            <w:r>
              <w:br/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Required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(Y/N) 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Statutory Form </w:t>
            </w:r>
          </w:p>
        </w:tc>
      </w:tr>
      <w:tr>
        <w:trPr>
          <w:trHeight w:hRule="exact" w:val="622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1.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03"/>
              <w:gridCol w:w="1003"/>
              <w:gridCol w:w="1003"/>
            </w:tblGrid>
            <w:tr>
              <w:trPr>
                <w:trHeight w:hRule="exact" w:val="226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58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Submission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of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74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outstanding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Creditors who are MSME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Half Yearly (Oct to March)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MSME-1</w:t>
            </w:r>
          </w:p>
        </w:tc>
      </w:tr>
      <w:tr>
        <w:trPr>
          <w:trHeight w:hRule="exact" w:val="396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2. 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Reconciliation of share capital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Half Yearly (Oct to March) 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PAS-6 </w:t>
            </w:r>
          </w:p>
        </w:tc>
      </w:tr>
      <w:tr>
        <w:trPr>
          <w:trHeight w:hRule="exact" w:val="618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3.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Submission Amount related to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Deposits/ and Advances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Annual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DPT-3</w:t>
            </w:r>
          </w:p>
        </w:tc>
      </w:tr>
      <w:tr>
        <w:trPr>
          <w:trHeight w:hRule="exact" w:val="624"/>
        </w:trPr>
        <w:tc>
          <w:tcPr>
            <w:tcW w:type="dxa" w:w="67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4. </w:t>
            </w:r>
          </w:p>
        </w:tc>
        <w:tc>
          <w:tcPr>
            <w:tcW w:type="dxa" w:w="30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Submission of DIR- KYC 3 of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director -1 </w:t>
            </w:r>
          </w:p>
        </w:tc>
        <w:tc>
          <w:tcPr>
            <w:tcW w:type="dxa" w:w="23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Annual </w:t>
            </w:r>
          </w:p>
        </w:tc>
        <w:tc>
          <w:tcPr>
            <w:tcW w:type="dxa" w:w="10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DIR-3KYC </w:t>
            </w:r>
          </w:p>
        </w:tc>
      </w:tr>
      <w:tr>
        <w:trPr>
          <w:trHeight w:hRule="exact" w:val="620"/>
        </w:trPr>
        <w:tc>
          <w:tcPr>
            <w:tcW w:type="dxa" w:w="67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5. </w:t>
            </w:r>
          </w:p>
        </w:tc>
        <w:tc>
          <w:tcPr>
            <w:tcW w:type="dxa" w:w="30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Submission of DIR- KYC 3 of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director -2 </w:t>
            </w:r>
          </w:p>
        </w:tc>
        <w:tc>
          <w:tcPr>
            <w:tcW w:type="dxa" w:w="23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Annual </w:t>
            </w:r>
          </w:p>
        </w:tc>
        <w:tc>
          <w:tcPr>
            <w:tcW w:type="dxa" w:w="10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DIR-3KYC </w:t>
            </w:r>
          </w:p>
        </w:tc>
      </w:tr>
      <w:tr>
        <w:trPr>
          <w:trHeight w:hRule="exact" w:val="624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6. 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Submission of DIR- KYC 3 of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director -3, if any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Annual 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DIR-3KYC </w:t>
            </w:r>
          </w:p>
        </w:tc>
      </w:tr>
      <w:tr>
        <w:trPr>
          <w:trHeight w:hRule="exact" w:val="856"/>
        </w:trPr>
        <w:tc>
          <w:tcPr>
            <w:tcW w:type="dxa" w:w="67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7. </w:t>
            </w:r>
          </w:p>
        </w:tc>
        <w:tc>
          <w:tcPr>
            <w:tcW w:type="dxa" w:w="300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  <w:tab w:pos="2650" w:val="left"/>
              </w:tabs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Compliance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relating </w:t>
            </w:r>
            <w:r>
              <w:tab/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Re-</w:t>
            </w:r>
          </w:p>
          <w:p>
            <w:pPr>
              <w:autoSpaceDN w:val="0"/>
              <w:tabs>
                <w:tab w:pos="2738" w:val="left"/>
              </w:tabs>
              <w:autoSpaceDE w:val="0"/>
              <w:widowControl/>
              <w:spacing w:line="214" w:lineRule="exact" w:before="2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appointment/appointment </w:t>
            </w:r>
            <w:r>
              <w:tab/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of </w:t>
            </w:r>
          </w:p>
          <w:p>
            <w:pPr>
              <w:autoSpaceDN w:val="0"/>
              <w:autoSpaceDE w:val="0"/>
              <w:widowControl/>
              <w:spacing w:line="214" w:lineRule="exact" w:before="16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Statutory Auditors </w:t>
            </w:r>
          </w:p>
        </w:tc>
        <w:tc>
          <w:tcPr>
            <w:tcW w:type="dxa" w:w="235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Every 5 years </w:t>
            </w:r>
          </w:p>
        </w:tc>
        <w:tc>
          <w:tcPr>
            <w:tcW w:type="dxa" w:w="101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ADT-1 </w:t>
            </w:r>
          </w:p>
        </w:tc>
      </w:tr>
      <w:tr>
        <w:trPr>
          <w:trHeight w:hRule="exact" w:val="620"/>
        </w:trPr>
        <w:tc>
          <w:tcPr>
            <w:tcW w:type="dxa" w:w="67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8.</w:t>
            </w:r>
          </w:p>
        </w:tc>
        <w:tc>
          <w:tcPr>
            <w:tcW w:type="dxa" w:w="30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Submission of Audited Financial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Statements. </w:t>
            </w:r>
          </w:p>
        </w:tc>
        <w:tc>
          <w:tcPr>
            <w:tcW w:type="dxa" w:w="23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Annual</w:t>
            </w:r>
          </w:p>
        </w:tc>
        <w:tc>
          <w:tcPr>
            <w:tcW w:type="dxa" w:w="10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258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AOC-4</w:t>
            </w:r>
          </w:p>
        </w:tc>
      </w:tr>
      <w:tr>
        <w:trPr>
          <w:trHeight w:hRule="exact" w:val="624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9. 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03"/>
              <w:gridCol w:w="1003"/>
              <w:gridCol w:w="1003"/>
            </w:tblGrid>
            <w:tr>
              <w:trPr>
                <w:trHeight w:hRule="exact" w:val="226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4" w:after="0"/>
                    <w:ind w:left="58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Submission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4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of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4" w:after="0"/>
                    <w:ind w:left="174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outstanding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8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Creditors who are MSME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Half Yearly (April to Sep) 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MSME-1 </w:t>
            </w:r>
          </w:p>
        </w:tc>
      </w:tr>
      <w:tr>
        <w:trPr>
          <w:trHeight w:hRule="exact" w:val="392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10.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Reconciliation of share capital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Half Yearly (April to Sep)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PAS-6</w:t>
            </w:r>
          </w:p>
        </w:tc>
      </w:tr>
      <w:tr>
        <w:trPr>
          <w:trHeight w:hRule="exact" w:val="388"/>
        </w:trPr>
        <w:tc>
          <w:tcPr>
            <w:tcW w:type="dxa" w:w="67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11. </w:t>
            </w:r>
          </w:p>
        </w:tc>
        <w:tc>
          <w:tcPr>
            <w:tcW w:type="dxa" w:w="300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Submission of Annual Return </w:t>
            </w:r>
          </w:p>
        </w:tc>
        <w:tc>
          <w:tcPr>
            <w:tcW w:type="dxa" w:w="235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Annual </w:t>
            </w:r>
          </w:p>
        </w:tc>
        <w:tc>
          <w:tcPr>
            <w:tcW w:type="dxa" w:w="10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Y </w:t>
            </w:r>
          </w:p>
        </w:tc>
        <w:tc>
          <w:tcPr>
            <w:tcW w:type="dxa" w:w="258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MGT-7 </w:t>
            </w:r>
          </w:p>
        </w:tc>
      </w:tr>
      <w:tr>
        <w:trPr>
          <w:trHeight w:hRule="exact" w:val="624"/>
        </w:trPr>
        <w:tc>
          <w:tcPr>
            <w:tcW w:type="dxa" w:w="676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12.</w:t>
            </w:r>
          </w:p>
        </w:tc>
        <w:tc>
          <w:tcPr>
            <w:tcW w:type="dxa" w:w="300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752"/>
              <w:gridCol w:w="752"/>
              <w:gridCol w:w="752"/>
              <w:gridCol w:w="752"/>
            </w:tblGrid>
            <w:tr>
              <w:trPr>
                <w:trHeight w:hRule="exact" w:val="226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Submission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of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0" w:right="0" w:firstLine="0"/>
                    <w:jc w:val="center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for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06" w:right="0" w:firstLine="0"/>
                    <w:jc w:val="left"/>
                  </w:pPr>
                  <w:r>
                    <w:rPr>
                      <w:w w:val="98.831664191352"/>
                      <w:rFonts w:ascii="CIDFont+F1" w:hAnsi="CIDFont+F1" w:eastAsia="CIDFont+F1"/>
                      <w:b w:val="0"/>
                      <w:i w:val="0"/>
                      <w:color w:val="404040"/>
                      <w:sz w:val="18"/>
                    </w:rPr>
                    <w:t xml:space="preserve">Significant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10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Beneficial Ownership, if any </w:t>
            </w:r>
          </w:p>
        </w:tc>
        <w:tc>
          <w:tcPr>
            <w:tcW w:type="dxa" w:w="235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8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Annual</w:t>
            </w:r>
          </w:p>
        </w:tc>
        <w:tc>
          <w:tcPr>
            <w:tcW w:type="dxa" w:w="10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Y</w:t>
            </w:r>
          </w:p>
        </w:tc>
        <w:tc>
          <w:tcPr>
            <w:tcW w:type="dxa" w:w="258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96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BEN 2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4958"/>
        <w:gridCol w:w="4958"/>
      </w:tblGrid>
      <w:tr>
        <w:trPr>
          <w:trHeight w:hRule="exact" w:val="286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6" w:right="0" w:firstLine="0"/>
              <w:jc w:val="left"/>
            </w:pPr>
            <w:r>
              <w:rPr>
                <w:w w:val="98.831664191352"/>
                <w:rFonts w:ascii="CIDFont+F8" w:hAnsi="CIDFont+F8" w:eastAsia="CIDFont+F8"/>
                <w:b w:val="0"/>
                <w:i w:val="0"/>
                <w:color w:val="404040"/>
                <w:sz w:val="18"/>
              </w:rPr>
              <w:t></w:t>
            </w:r>
          </w:p>
        </w:tc>
        <w:tc>
          <w:tcPr>
            <w:tcW w:type="dxa" w:w="9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0" w:after="0"/>
              <w:ind w:left="13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Any work apart from above will be considered as ad-hoc assignment and will charged as per mutual consent, following </w:t>
            </w:r>
          </w:p>
        </w:tc>
      </w:tr>
    </w:tbl>
    <w:p>
      <w:pPr>
        <w:autoSpaceDN w:val="0"/>
        <w:autoSpaceDE w:val="0"/>
        <w:widowControl/>
        <w:spacing w:line="214" w:lineRule="exact" w:before="2" w:after="0"/>
        <w:ind w:left="350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work can be considered as ad-hoc work: </w:t>
      </w:r>
    </w:p>
    <w:p>
      <w:pPr>
        <w:autoSpaceDN w:val="0"/>
        <w:autoSpaceDE w:val="0"/>
        <w:widowControl/>
        <w:spacing w:line="214" w:lineRule="exact" w:before="214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1)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Any pending compliances relating to previous financial years.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4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2)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Any and all procedures related to passing a Special resolution at an Extra- Ordinary General Meeting and 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subsequently filing E-Form MGT-14. </w:t>
      </w:r>
    </w:p>
    <w:p>
      <w:pPr>
        <w:autoSpaceDN w:val="0"/>
        <w:autoSpaceDE w:val="0"/>
        <w:widowControl/>
        <w:spacing w:line="214" w:lineRule="exact" w:before="0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3)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Conducting/assisting in-person board meetings. </w:t>
      </w:r>
    </w:p>
    <w:p>
      <w:pPr>
        <w:autoSpaceDN w:val="0"/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4)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Changes in the capital structures, directors, shareholders, key managerial person, registered office, Auditors, etc. 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5)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Changes in address of directors, DSC Renewal, etc. </w:t>
      </w:r>
    </w:p>
    <w:p>
      <w:pPr>
        <w:autoSpaceDN w:val="0"/>
        <w:autoSpaceDE w:val="0"/>
        <w:widowControl/>
        <w:spacing w:line="214" w:lineRule="exact" w:before="0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6)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Change in Name of the Company, Objects of the Company, etc. </w:t>
      </w:r>
    </w:p>
    <w:p>
      <w:pPr>
        <w:autoSpaceDN w:val="0"/>
        <w:autoSpaceDE w:val="0"/>
        <w:widowControl/>
        <w:spacing w:line="214" w:lineRule="exact" w:before="0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7)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Creation / Modification / Satisfaction of Charge.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4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8)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Compliances to be followed under RBI / FEMA i.e. Annual return on foreign Liabilities and assets (FLA Return), 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Annual Performance Report (APR), Single Master Form, FC-GPR, FC-TRS, Form ODI etc. </w:t>
      </w:r>
    </w:p>
    <w:p>
      <w:pPr>
        <w:autoSpaceDN w:val="0"/>
        <w:autoSpaceDE w:val="0"/>
        <w:widowControl/>
        <w:spacing w:line="214" w:lineRule="exact" w:before="0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9)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Any New Notification issued directing to file with MCA during the Financial Year. </w:t>
      </w:r>
    </w:p>
    <w:p>
      <w:pPr>
        <w:autoSpaceDN w:val="0"/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10)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Any matters related to NCLT proceedings including matters related IBC </w:t>
      </w:r>
    </w:p>
    <w:p>
      <w:pPr>
        <w:autoSpaceDN w:val="0"/>
        <w:autoSpaceDE w:val="0"/>
        <w:widowControl/>
        <w:spacing w:line="184" w:lineRule="exact" w:before="1036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15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140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8" w:lineRule="exact" w:before="282" w:after="0"/>
        <w:ind w:left="12" w:right="0" w:firstLine="0"/>
        <w:jc w:val="left"/>
      </w:pPr>
      <w:r>
        <w:rPr>
          <w:u w:val="single" w:color="2f4659"/>
          <w:w w:val="98.65285782586962"/>
          <w:rFonts w:ascii="CIDFont+F5" w:hAnsi="CIDFont+F5" w:eastAsia="CIDFont+F5"/>
          <w:b w:val="0"/>
          <w:i w:val="0"/>
          <w:color w:val="2F465A"/>
          <w:sz w:val="21"/>
        </w:rPr>
        <w:t>Annexure 2: One Time Setup of Payroll &amp; On Boarding Process</w:t>
      </w:r>
      <w:r>
        <w:rPr>
          <w:w w:val="98.65285782586962"/>
          <w:rFonts w:ascii="CIDFont+F5" w:hAnsi="CIDFont+F5" w:eastAsia="CIDFont+F5"/>
          <w:b w:val="0"/>
          <w:i w:val="0"/>
          <w:color w:val="2F465A"/>
          <w:sz w:val="21"/>
        </w:rPr>
        <w:t xml:space="preserve"> </w:t>
      </w:r>
    </w:p>
    <w:p>
      <w:pPr>
        <w:autoSpaceDN w:val="0"/>
        <w:autoSpaceDE w:val="0"/>
        <w:widowControl/>
        <w:spacing w:line="212" w:lineRule="exact" w:before="172" w:after="0"/>
        <w:ind w:left="0" w:right="0" w:firstLine="0"/>
        <w:jc w:val="center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Below mentioned standard templates as required under the different stages of recruitment &amp; appointment of an employee in </w:t>
      </w:r>
    </w:p>
    <w:p>
      <w:pPr>
        <w:autoSpaceDN w:val="0"/>
        <w:autoSpaceDE w:val="0"/>
        <w:widowControl/>
        <w:spacing w:line="214" w:lineRule="exact" w:before="20" w:after="108"/>
        <w:ind w:left="12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the organization are provided under the one-time payroll setup service: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303"/>
        <w:gridCol w:w="3303"/>
        <w:gridCol w:w="3303"/>
      </w:tblGrid>
      <w:tr>
        <w:trPr>
          <w:trHeight w:hRule="exact" w:val="27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1.</w:t>
            </w:r>
          </w:p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1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On / Before Joining </w:t>
            </w:r>
          </w:p>
        </w:tc>
      </w:tr>
      <w:tr>
        <w:trPr>
          <w:trHeight w:hRule="exact" w:val="212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Offer letter &amp; Standard Terms and Conditions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b.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Salary Structure is a Standard tax optimum breakup of the salary of an employee keeping in mind the taxation &amp; </w:t>
            </w:r>
          </w:p>
        </w:tc>
      </w:tr>
      <w:tr>
        <w:trPr>
          <w:trHeight w:hRule="exact" w:val="216"/>
        </w:trPr>
        <w:tc>
          <w:tcPr>
            <w:tcW w:type="dxa" w:w="3303"/>
            <w:vMerge/>
            <w:tcBorders/>
          </w:tcPr>
          <w:p/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9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labour laws in India. The same can be customized as per profile &amp; designation of the candidate by you. Against 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1026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each allowance in the salary structure, we provide the documents required to claim the same under the laws &amp; </w:t>
      </w:r>
    </w:p>
    <w:p>
      <w:pPr>
        <w:autoSpaceDN w:val="0"/>
        <w:autoSpaceDE w:val="0"/>
        <w:widowControl/>
        <w:spacing w:line="214" w:lineRule="exact" w:before="0" w:after="172"/>
        <w:ind w:left="1026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the permissible deductions for the candidate under the law for 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303"/>
        <w:gridCol w:w="3303"/>
        <w:gridCol w:w="3303"/>
      </w:tblGrid>
      <w:tr>
        <w:trPr>
          <w:trHeight w:hRule="exact" w:val="264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2.</w:t>
            </w:r>
          </w:p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0" w:after="0"/>
              <w:ind w:left="11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Onboarding </w:t>
            </w:r>
          </w:p>
        </w:tc>
      </w:tr>
      <w:tr>
        <w:trPr>
          <w:trHeight w:hRule="exact" w:val="226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Joining form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b.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Detailed Check list of KYC &amp; other documents which should be maintained for every employee of the company is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9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attached herewith.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c.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Employee Data form &amp; Investment Declaration form to compute the Income tax compliance (TDS on salary). </w:t>
            </w:r>
          </w:p>
        </w:tc>
      </w:tr>
    </w:tbl>
    <w:p>
      <w:pPr>
        <w:autoSpaceDN w:val="0"/>
        <w:autoSpaceDE w:val="0"/>
        <w:widowControl/>
        <w:spacing w:line="212" w:lineRule="exact" w:before="2" w:after="172"/>
        <w:ind w:left="688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>d.</w:t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Appointment Letter for the new employee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303"/>
        <w:gridCol w:w="3303"/>
        <w:gridCol w:w="3303"/>
      </w:tblGrid>
      <w:tr>
        <w:trPr>
          <w:trHeight w:hRule="exact" w:val="272"/>
        </w:trPr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0" w:firstLine="0"/>
              <w:jc w:val="center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3.</w:t>
            </w:r>
          </w:p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114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Post Joining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a.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Employee Master Data - To be maintained at the company’s premises. </w:t>
            </w:r>
          </w:p>
        </w:tc>
      </w:tr>
      <w:tr>
        <w:trPr>
          <w:trHeight w:hRule="exact" w:val="216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b.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Monthly Salary Register - We shall share the Salary register with you which is to be maintained as per the statutory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9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laws. </w:t>
            </w:r>
          </w:p>
        </w:tc>
      </w:tr>
      <w:tr>
        <w:trPr>
          <w:trHeight w:hRule="exact" w:val="214"/>
        </w:trPr>
        <w:tc>
          <w:tcPr>
            <w:tcW w:type="dxa" w:w="3303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righ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>c.</w:t>
            </w:r>
          </w:p>
        </w:tc>
        <w:tc>
          <w:tcPr>
            <w:tcW w:type="dxa" w:w="9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21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Compliance Check list – List of labour compliances applicable to the company depending on the number of </w:t>
            </w:r>
          </w:p>
        </w:tc>
      </w:tr>
      <w:tr>
        <w:trPr>
          <w:trHeight w:hRule="exact" w:val="274"/>
        </w:trPr>
        <w:tc>
          <w:tcPr>
            <w:tcW w:type="dxa" w:w="3303"/>
            <w:vMerge/>
            <w:tcBorders/>
          </w:tcPr>
          <w:p/>
        </w:tc>
        <w:tc>
          <w:tcPr>
            <w:tcW w:type="dxa" w:w="9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9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employees &amp; company location. </w:t>
            </w:r>
          </w:p>
        </w:tc>
      </w:tr>
    </w:tbl>
    <w:p>
      <w:pPr>
        <w:autoSpaceDN w:val="0"/>
        <w:autoSpaceDE w:val="0"/>
        <w:widowControl/>
        <w:spacing w:line="248" w:lineRule="exact" w:before="564" w:after="0"/>
        <w:ind w:left="12" w:right="0" w:firstLine="0"/>
        <w:jc w:val="left"/>
      </w:pPr>
      <w:r>
        <w:rPr>
          <w:u w:val="single" w:color="2f4659"/>
          <w:w w:val="98.65285782586962"/>
          <w:rFonts w:ascii="CIDFont+F5" w:hAnsi="CIDFont+F5" w:eastAsia="CIDFont+F5"/>
          <w:b w:val="0"/>
          <w:i w:val="0"/>
          <w:color w:val="2F465A"/>
          <w:sz w:val="21"/>
        </w:rPr>
        <w:t>Annexure 3: Payroll Processing</w:t>
      </w:r>
      <w:r>
        <w:rPr>
          <w:w w:val="98.65285782586962"/>
          <w:rFonts w:ascii="CIDFont+F5" w:hAnsi="CIDFont+F5" w:eastAsia="CIDFont+F5"/>
          <w:b w:val="0"/>
          <w:i w:val="0"/>
          <w:color w:val="2F465A"/>
          <w:sz w:val="21"/>
        </w:rPr>
        <w:t xml:space="preserve"> </w:t>
      </w:r>
    </w:p>
    <w:p>
      <w:pPr>
        <w:autoSpaceDN w:val="0"/>
        <w:autoSpaceDE w:val="0"/>
        <w:widowControl/>
        <w:spacing w:line="214" w:lineRule="exact" w:before="174" w:after="0"/>
        <w:ind w:left="12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In.Corp shall offer below mentioned services based on input received from client: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154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Monthly payroll processing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Salary computation, including taxes, bonuses, and deductions.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0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Management of bonuses, incentives, overtime and allowances.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0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Deduction and remittance of statutory contributions (EPF, ESI, PT, TDS, LWF etc.).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4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Payslip generation and distribution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Full &amp; final settlement formalities &amp; processing </w:t>
      </w:r>
    </w:p>
    <w:p>
      <w:pPr>
        <w:autoSpaceDN w:val="0"/>
        <w:autoSpaceDE w:val="0"/>
        <w:widowControl/>
        <w:spacing w:line="226" w:lineRule="exact" w:before="168" w:after="0"/>
        <w:ind w:left="12" w:right="0" w:firstLine="0"/>
        <w:jc w:val="left"/>
      </w:pPr>
      <w:r>
        <w:rPr>
          <w:w w:val="98.37079299123663"/>
          <w:rFonts w:ascii="CIDFont+F2" w:hAnsi="CIDFont+F2" w:eastAsia="CIDFont+F2"/>
          <w:b/>
          <w:i w:val="0"/>
          <w:color w:val="404040"/>
          <w:sz w:val="19"/>
        </w:rPr>
        <w:t xml:space="preserve">Exclusions </w:t>
      </w:r>
    </w:p>
    <w:p>
      <w:pPr>
        <w:autoSpaceDN w:val="0"/>
        <w:autoSpaceDE w:val="0"/>
        <w:widowControl/>
        <w:spacing w:line="212" w:lineRule="exact" w:before="168" w:after="0"/>
        <w:ind w:left="0" w:right="0" w:firstLine="0"/>
        <w:jc w:val="center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Any work apart from above will be considered as ad-hoc assignment and will charged separately subject to nature &amp; </w:t>
      </w:r>
    </w:p>
    <w:p>
      <w:pPr>
        <w:autoSpaceDN w:val="0"/>
        <w:autoSpaceDE w:val="0"/>
        <w:widowControl/>
        <w:spacing w:line="212" w:lineRule="exact" w:before="4" w:after="90"/>
        <w:ind w:left="12" w:right="0" w:firstLine="0"/>
        <w:jc w:val="left"/>
      </w:pP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complexity of transaction.  Following work will be considered as ad-hoc assignment which includes and is not limited to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55"/>
        <w:gridCol w:w="4955"/>
      </w:tblGrid>
      <w:tr>
        <w:trPr>
          <w:trHeight w:hRule="exact" w:val="3142"/>
        </w:trPr>
        <w:tc>
          <w:tcPr>
            <w:tcW w:type="dxa" w:w="896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34" w:after="0"/>
              <w:ind w:left="688" w:right="126" w:firstLine="0"/>
              <w:jc w:val="both"/>
            </w:pP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</w:p>
        </w:tc>
        <w:tc>
          <w:tcPr>
            <w:tcW w:type="dxa" w:w="8914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3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Employee training and development programs. </w:t>
            </w:r>
          </w:p>
          <w:p>
            <w:pPr>
              <w:autoSpaceDN w:val="0"/>
              <w:autoSpaceDE w:val="0"/>
              <w:widowControl/>
              <w:spacing w:line="214" w:lineRule="exact" w:before="18" w:after="0"/>
              <w:ind w:left="13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Expatriate Tax Computations and Management. </w:t>
            </w:r>
          </w:p>
          <w:p>
            <w:pPr>
              <w:autoSpaceDN w:val="0"/>
              <w:autoSpaceDE w:val="0"/>
              <w:widowControl/>
              <w:spacing w:line="214" w:lineRule="exact" w:before="16" w:after="0"/>
              <w:ind w:left="13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Handling work permits or visa sponsorships for expatriate employees. </w:t>
            </w:r>
          </w:p>
          <w:p>
            <w:pPr>
              <w:autoSpaceDN w:val="0"/>
              <w:autoSpaceDE w:val="0"/>
              <w:widowControl/>
              <w:spacing w:line="214" w:lineRule="exact" w:before="20" w:after="0"/>
              <w:ind w:left="13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Collecting and verifying any employee documents. 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130" w:right="864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Any other ad-hoc data or documentation requirements related to ongoing employees </w:t>
            </w:r>
            <w:r>
              <w:br/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Preparation of employee onboarding documentation such as offer letters, appointment letters, etc. 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30" w:right="1152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Assistance with employee queries related to personal taxation, compliance, and documentation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Advisory on amendments to statutory labour law compliance and related filing requirements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Advisory on salary structure revisions in line with regulatory changes </w:t>
            </w:r>
          </w:p>
        </w:tc>
      </w:tr>
    </w:tbl>
    <w:p>
      <w:pPr>
        <w:autoSpaceDN w:val="0"/>
        <w:autoSpaceDE w:val="0"/>
        <w:widowControl/>
        <w:spacing w:line="184" w:lineRule="exact" w:before="142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16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146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4" w:lineRule="exact" w:before="284" w:after="0"/>
        <w:ind w:left="350" w:right="0" w:firstLine="0"/>
        <w:jc w:val="left"/>
      </w:pP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>a)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 xml:space="preserve">Employee Self-Service Portal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0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Setup employee details and credentials for HR-Tech Software Platform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Online payslips and tax reports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4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Leave and attendance integration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0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Employee data management and updates </w:t>
      </w:r>
    </w:p>
    <w:p>
      <w:pPr>
        <w:autoSpaceDN w:val="0"/>
        <w:autoSpaceDE w:val="0"/>
        <w:widowControl/>
        <w:spacing w:line="214" w:lineRule="exact" w:before="248" w:after="0"/>
        <w:ind w:left="350" w:right="0" w:firstLine="0"/>
        <w:jc w:val="left"/>
      </w:pP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>b)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 xml:space="preserve">Employee Payroll Helpdesk Support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Call / Email Helpdesk Service with 24H-48H response time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0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Query resolution within 8-16 working hours for 90% cases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Assistance with taxation and compliance-related employee queries </w:t>
      </w:r>
    </w:p>
    <w:p>
      <w:pPr>
        <w:autoSpaceDN w:val="0"/>
        <w:autoSpaceDE w:val="0"/>
        <w:widowControl/>
        <w:spacing w:line="214" w:lineRule="exact" w:before="248" w:after="0"/>
        <w:ind w:left="350" w:right="0" w:firstLine="0"/>
        <w:jc w:val="left"/>
      </w:pP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>c)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 xml:space="preserve">Onboarding and Offboarding </w:t>
      </w:r>
    </w:p>
    <w:p>
      <w:pPr>
        <w:autoSpaceDN w:val="0"/>
        <w:tabs>
          <w:tab w:pos="1026" w:val="left"/>
        </w:tabs>
        <w:autoSpaceDE w:val="0"/>
        <w:widowControl/>
        <w:spacing w:line="212" w:lineRule="exact" w:before="0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Configuration of payroll and ESS Portal for new joinees </w:t>
      </w:r>
    </w:p>
    <w:p>
      <w:pPr>
        <w:autoSpaceDN w:val="0"/>
        <w:tabs>
          <w:tab w:pos="1026" w:val="left"/>
        </w:tabs>
        <w:autoSpaceDE w:val="0"/>
        <w:widowControl/>
        <w:spacing w:line="214" w:lineRule="exact" w:before="2" w:after="0"/>
        <w:ind w:left="688" w:right="0" w:firstLine="0"/>
        <w:jc w:val="left"/>
      </w:pPr>
      <w:r>
        <w:rPr>
          <w:w w:val="98.831664191352"/>
          <w:rFonts w:ascii="CIDFont+F16" w:hAnsi="CIDFont+F16" w:eastAsia="CIDFont+F16"/>
          <w:b w:val="0"/>
          <w:i w:val="0"/>
          <w:color w:val="404040"/>
          <w:sz w:val="18"/>
        </w:rPr>
        <w:t></w:t>
      </w:r>
      <w:r>
        <w:tab/>
      </w:r>
      <w:r>
        <w:rPr>
          <w:w w:val="98.831664191352"/>
          <w:rFonts w:ascii="CIDFont+F1" w:hAnsi="CIDFont+F1" w:eastAsia="CIDFont+F1"/>
          <w:b w:val="0"/>
          <w:i w:val="0"/>
          <w:color w:val="404040"/>
          <w:sz w:val="18"/>
        </w:rPr>
        <w:t xml:space="preserve">Leave encashment computation </w:t>
      </w:r>
    </w:p>
    <w:p>
      <w:pPr>
        <w:autoSpaceDN w:val="0"/>
        <w:autoSpaceDE w:val="0"/>
        <w:widowControl/>
        <w:spacing w:line="214" w:lineRule="exact" w:before="480" w:after="8"/>
        <w:ind w:left="350" w:right="0" w:firstLine="0"/>
        <w:jc w:val="left"/>
      </w:pP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>d)</w:t>
      </w:r>
      <w:r>
        <w:rPr>
          <w:w w:val="98.831664191352"/>
          <w:rFonts w:ascii="CIDFont+F2" w:hAnsi="CIDFont+F2" w:eastAsia="CIDFont+F2"/>
          <w:b/>
          <w:i w:val="0"/>
          <w:color w:val="404040"/>
          <w:sz w:val="18"/>
        </w:rPr>
        <w:t xml:space="preserve">Payroll Labor Law Advisory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27"/>
        <w:gridCol w:w="4927"/>
      </w:tblGrid>
      <w:tr>
        <w:trPr>
          <w:trHeight w:hRule="exact" w:val="8448"/>
        </w:trPr>
        <w:tc>
          <w:tcPr>
            <w:tcW w:type="dxa" w:w="896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88" w:right="126" w:firstLine="0"/>
              <w:jc w:val="both"/>
            </w:pP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  <w:r>
              <w:br/>
            </w:r>
            <w:r>
              <w:rPr>
                <w:w w:val="98.831664191352"/>
                <w:rFonts w:ascii="CIDFont+F16" w:hAnsi="CIDFont+F16" w:eastAsia="CIDFont+F16"/>
                <w:b w:val="0"/>
                <w:i w:val="0"/>
                <w:color w:val="404040"/>
                <w:sz w:val="18"/>
              </w:rPr>
              <w:t></w:t>
            </w:r>
          </w:p>
        </w:tc>
        <w:tc>
          <w:tcPr>
            <w:tcW w:type="dxa" w:w="8914"/>
            <w:tcBorders>
              <w:bottom w:sz="9.600000381469727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130" w:right="0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Advisory on changes in compliance and filing requirements. </w:t>
            </w:r>
          </w:p>
          <w:p>
            <w:pPr>
              <w:autoSpaceDN w:val="0"/>
              <w:autoSpaceDE w:val="0"/>
              <w:widowControl/>
              <w:spacing w:line="232" w:lineRule="exact" w:before="0" w:after="0"/>
              <w:ind w:left="130" w:right="3168" w:firstLine="0"/>
              <w:jc w:val="left"/>
            </w:pP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Advisory on salary structures and changes in taxation regulations. </w:t>
            </w:r>
            <w:r>
              <w:rPr>
                <w:w w:val="98.831664191352"/>
                <w:rFonts w:ascii="CIDFont+F1" w:hAnsi="CIDFont+F1" w:eastAsia="CIDFont+F1"/>
                <w:b w:val="0"/>
                <w:i w:val="0"/>
                <w:color w:val="404040"/>
                <w:sz w:val="18"/>
              </w:rPr>
              <w:t xml:space="preserve">Legal implications of violations, and changes in labor law regulations. </w:t>
            </w:r>
          </w:p>
        </w:tc>
      </w:tr>
    </w:tbl>
    <w:p>
      <w:pPr>
        <w:autoSpaceDN w:val="0"/>
        <w:autoSpaceDE w:val="0"/>
        <w:widowControl/>
        <w:spacing w:line="184" w:lineRule="exact" w:before="142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17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202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282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TERMS &amp; CONDITIONS </w:t>
      </w:r>
    </w:p>
    <w:p>
      <w:pPr>
        <w:autoSpaceDN w:val="0"/>
        <w:autoSpaceDE w:val="0"/>
        <w:widowControl/>
        <w:spacing w:line="270" w:lineRule="exact" w:before="342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FORMAL SERVICE AGREEMENTS </w:t>
      </w:r>
    </w:p>
    <w:p>
      <w:pPr>
        <w:autoSpaceDN w:val="0"/>
        <w:tabs>
          <w:tab w:pos="492" w:val="left"/>
        </w:tabs>
        <w:autoSpaceDE w:val="0"/>
        <w:widowControl/>
        <w:spacing w:line="222" w:lineRule="exact" w:before="138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>Formal service agreements are to be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mutually agreed and executed between In.Corp and the Company post the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acceptance of this proposal letter by way of a written email. </w:t>
      </w:r>
    </w:p>
    <w:p>
      <w:pPr>
        <w:autoSpaceDN w:val="0"/>
        <w:tabs>
          <w:tab w:pos="492" w:val="left"/>
        </w:tabs>
        <w:autoSpaceDE w:val="0"/>
        <w:widowControl/>
        <w:spacing w:line="222" w:lineRule="exact" w:before="26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Additional fees will be charged for services rendered in connection with matters outside the scope of services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outlined above and for services rendered where time costs exceed the fees quoted above. </w:t>
      </w:r>
    </w:p>
    <w:p>
      <w:pPr>
        <w:autoSpaceDN w:val="0"/>
        <w:tabs>
          <w:tab w:pos="492" w:val="left"/>
        </w:tabs>
        <w:autoSpaceDE w:val="0"/>
        <w:widowControl/>
        <w:spacing w:line="220" w:lineRule="exact" w:before="30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Our fees are based on current regulations and market practices. Should there be changes which impact our scope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of services or effort involved, we will be pleased to discuss them with you to arrive at a mutually agreeable solution. </w:t>
      </w:r>
    </w:p>
    <w:p>
      <w:pPr>
        <w:autoSpaceDN w:val="0"/>
        <w:autoSpaceDE w:val="0"/>
        <w:widowControl/>
        <w:spacing w:line="240" w:lineRule="auto" w:before="252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230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72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TERMINATION </w:t>
      </w:r>
    </w:p>
    <w:p>
      <w:pPr>
        <w:autoSpaceDN w:val="0"/>
        <w:autoSpaceDE w:val="0"/>
        <w:widowControl/>
        <w:spacing w:line="224" w:lineRule="exact" w:before="174" w:after="0"/>
        <w:ind w:left="492" w:right="74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Either Party may terminate the above-mentioned services with one (1) month’s prior written notice thereof. In the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event that this engagement is terminated, we shall still be entitled to our fee and out-of- pocket expenses accrued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up to the date of the end of service. </w:t>
      </w:r>
    </w:p>
    <w:p>
      <w:pPr>
        <w:autoSpaceDN w:val="0"/>
        <w:autoSpaceDE w:val="0"/>
        <w:widowControl/>
        <w:spacing w:line="270" w:lineRule="exact" w:before="470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GOVERNING LAW </w:t>
      </w:r>
    </w:p>
    <w:p>
      <w:pPr>
        <w:autoSpaceDN w:val="0"/>
        <w:autoSpaceDE w:val="0"/>
        <w:widowControl/>
        <w:spacing w:line="222" w:lineRule="exact" w:before="174" w:after="0"/>
        <w:ind w:left="492" w:right="74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This Letter shall be governed by and construed in accordance with the laws of India and the parties hereto submit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to the exclusive jurisdiction of the Courts of India over any disputes, which may arise out of or in accordance with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it. </w:t>
      </w:r>
    </w:p>
    <w:p>
      <w:pPr>
        <w:autoSpaceDN w:val="0"/>
        <w:tabs>
          <w:tab w:pos="492" w:val="left"/>
        </w:tabs>
        <w:autoSpaceDE w:val="0"/>
        <w:widowControl/>
        <w:spacing w:line="220" w:lineRule="exact" w:before="30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All disputes under this Engagement Letter shall be settled by arbitration. The Arbitration Proceedings shall be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carried out within the framework of Indian Arbitration and Conciliation Act, 1996 at Mumbai. </w:t>
      </w:r>
    </w:p>
    <w:p>
      <w:pPr>
        <w:autoSpaceDN w:val="0"/>
        <w:autoSpaceDE w:val="0"/>
        <w:widowControl/>
        <w:spacing w:line="270" w:lineRule="exact" w:before="422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USE OF FIRM’S NAME </w:t>
      </w:r>
    </w:p>
    <w:p>
      <w:pPr>
        <w:autoSpaceDN w:val="0"/>
        <w:tabs>
          <w:tab w:pos="492" w:val="left"/>
        </w:tabs>
        <w:autoSpaceDE w:val="0"/>
        <w:widowControl/>
        <w:spacing w:line="220" w:lineRule="exact" w:before="178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In connection with any literature of an advertising nature, our firm’s name shall not be used or quoted without our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prior written permission. </w:t>
      </w:r>
    </w:p>
    <w:p>
      <w:pPr>
        <w:autoSpaceDN w:val="0"/>
        <w:autoSpaceDE w:val="0"/>
        <w:widowControl/>
        <w:spacing w:line="240" w:lineRule="auto" w:before="214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230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68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CONFIDENTIALITY OF INFORMATION </w:t>
      </w:r>
    </w:p>
    <w:p>
      <w:pPr>
        <w:autoSpaceDN w:val="0"/>
        <w:autoSpaceDE w:val="0"/>
        <w:widowControl/>
        <w:spacing w:line="222" w:lineRule="exact" w:before="174" w:after="0"/>
        <w:ind w:left="492" w:right="76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understand the confidential nature of the engagement and will hold in strict confidence all information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obtained from you. We will not disclose such information to others or use such information except in connection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with the performance of the services agreed in this letter. </w:t>
      </w:r>
    </w:p>
    <w:p>
      <w:pPr>
        <w:autoSpaceDN w:val="0"/>
        <w:autoSpaceDE w:val="0"/>
        <w:widowControl/>
        <w:spacing w:line="224" w:lineRule="exact" w:before="26" w:after="0"/>
        <w:ind w:left="492" w:right="76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may share information relating to the Entity, in respect of our relationship with it  and to the services, including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Confidential Information, privately and in confidence, with partners/  employees of the firm  and partners/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employees of affiliates of the firm, consultant’s experts and other parties (e.g. vendors who provide IT security,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maintenance and storage services), in each case who are required to implement safeguards to protect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confidentiality, in order to support the work as mentioned in scope, facilitate the administration of our engagement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or support the maintenance of quality and standards in our work. </w:t>
      </w:r>
    </w:p>
    <w:p>
      <w:pPr>
        <w:autoSpaceDN w:val="0"/>
        <w:autoSpaceDE w:val="0"/>
        <w:widowControl/>
        <w:spacing w:line="222" w:lineRule="exact" w:before="28" w:after="0"/>
        <w:ind w:left="492" w:right="78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This clause shall not prohibit our disclosure of Confidential Information where we are required by law or a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competent regulatory authority to disclose or where we wish to disclose it to our professional indemnity insurers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or advisers, in which event we may do so in confidence only. </w:t>
      </w:r>
    </w:p>
    <w:p>
      <w:pPr>
        <w:autoSpaceDN w:val="0"/>
        <w:autoSpaceDE w:val="0"/>
        <w:widowControl/>
        <w:spacing w:line="224" w:lineRule="exact" w:before="26" w:after="0"/>
        <w:ind w:left="492" w:right="76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may disclose in our external communication the fact that we have rendered services to the Entity by identifying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the name of the Entity, reproducing the Entity’s logo and/or indicating only the general nature of services rendered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by us including such details as have properly entered the public domain. </w:t>
      </w:r>
    </w:p>
    <w:p>
      <w:pPr>
        <w:autoSpaceDN w:val="0"/>
        <w:autoSpaceDE w:val="0"/>
        <w:widowControl/>
        <w:spacing w:line="184" w:lineRule="exact" w:before="878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18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088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284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DATA </w:t>
      </w:r>
    </w:p>
    <w:p>
      <w:pPr>
        <w:autoSpaceDN w:val="0"/>
        <w:autoSpaceDE w:val="0"/>
        <w:widowControl/>
        <w:spacing w:line="220" w:lineRule="exact" w:before="178" w:after="0"/>
        <w:ind w:left="492" w:right="0" w:hanging="264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shall process or arrange for processing of personal data on the Entity’s behalf for the purposes of delivering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the services. For such purposes we shall have Management’s authority to do so in accordance with this clause. </w:t>
      </w:r>
    </w:p>
    <w:p>
      <w:pPr>
        <w:autoSpaceDN w:val="0"/>
        <w:autoSpaceDE w:val="0"/>
        <w:widowControl/>
        <w:spacing w:line="226" w:lineRule="exact" w:before="0" w:after="0"/>
        <w:ind w:left="492" w:right="0" w:firstLine="0"/>
        <w:jc w:val="left"/>
      </w:pP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When we do so, we shall take appropriate technical and organisational measures designed to protect against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unauthorised or unlawful processing of personal data and against accidental loss or destruction of, or damage to,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personal data. In particular, we shall process personal data only for the purposes contemplated by the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Engagement Letter and we shall act on instructions of the Management only (given for such purposes )as required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by law or the order of competent court or tribunal. We may also process or arrange for processing of personal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data in order to support the maintenance of quality and standards in our work or to facilitate the administration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of our engagement or to support our infrastructure. We shall answer reasonable enquiries of the Entity to enable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it to monitor our compliance with this clause. In making personal data available to us, the Management confirms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that it has complied with applicable laws. In this clause, personal data means any information relating to an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individual. We shall not sub-contract our processing of personal data (unless to affiliates of the firm, consultant’s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experts, or other parties, as explained above, who are required to take equivalent measures when processing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personal data) without Entity’s prior written consent. </w:t>
      </w:r>
    </w:p>
    <w:p>
      <w:pPr>
        <w:autoSpaceDN w:val="0"/>
        <w:autoSpaceDE w:val="0"/>
        <w:widowControl/>
        <w:spacing w:line="224" w:lineRule="exact" w:before="26" w:after="0"/>
        <w:ind w:left="492" w:right="30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Information about contacts we have at the Entity may be used by partners/ employees of the firm and partners/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employees of the affiliates of the firm to provide our services to the Entity, and to occasionally provide certain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communication, which we believe may be of interest. Any person who does not wish to receive this information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can at any time request that such communications cease by writing to us at the address mentioned in the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Engagement Letter </w:t>
      </w:r>
    </w:p>
    <w:p>
      <w:pPr>
        <w:autoSpaceDN w:val="0"/>
        <w:autoSpaceDE w:val="0"/>
        <w:widowControl/>
        <w:spacing w:line="240" w:lineRule="auto" w:before="208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230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2" w:lineRule="exact" w:before="170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>EXCLUSIONS ON OUR LIABILITY</w:t>
      </w:r>
    </w:p>
    <w:p>
      <w:pPr>
        <w:autoSpaceDN w:val="0"/>
        <w:tabs>
          <w:tab w:pos="492" w:val="left"/>
        </w:tabs>
        <w:autoSpaceDE w:val="0"/>
        <w:widowControl/>
        <w:spacing w:line="220" w:lineRule="exact" w:before="178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shall also not be liable for any loss incurred by the Entity on account of or arising out of any act of fraud,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misrepresentation or default committed by the Entity, or any of its employees or representative. </w:t>
      </w:r>
    </w:p>
    <w:p>
      <w:pPr>
        <w:autoSpaceDN w:val="0"/>
        <w:autoSpaceDE w:val="0"/>
        <w:widowControl/>
        <w:spacing w:line="272" w:lineRule="exact" w:before="418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MISC TERMS </w:t>
      </w:r>
    </w:p>
    <w:p>
      <w:pPr>
        <w:autoSpaceDN w:val="0"/>
        <w:autoSpaceDE w:val="0"/>
        <w:widowControl/>
        <w:spacing w:line="224" w:lineRule="exact" w:before="174" w:after="0"/>
        <w:ind w:left="492" w:right="32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The Entity shall indemnify and hold harmless us from time to time and at all times hereafter, from and against (i)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all loss, damage, harm or injury suffered or incurred by us and (ii) all notices, claims, demands, action, suits or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proceedings given, made or initiated against us on account of or arising out of (a) any breach committed by the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Entity  in the performance of all or any of  its obligations hereunder as also against all costs, charges and expenses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suffered or incurred by us on account of the aforesaid. </w:t>
      </w:r>
    </w:p>
    <w:p>
      <w:pPr>
        <w:autoSpaceDN w:val="0"/>
        <w:tabs>
          <w:tab w:pos="492" w:val="left"/>
        </w:tabs>
        <w:autoSpaceDE w:val="0"/>
        <w:widowControl/>
        <w:spacing w:line="222" w:lineRule="exact" w:before="26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In this clause, ‘us’ shall include apart from the firm each and all of our partners, employees, and affiliates (including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their partners and employees). </w:t>
      </w:r>
    </w:p>
    <w:p>
      <w:pPr>
        <w:autoSpaceDN w:val="0"/>
        <w:autoSpaceDE w:val="0"/>
        <w:widowControl/>
        <w:spacing w:line="224" w:lineRule="exact" w:before="24" w:after="0"/>
        <w:ind w:left="492" w:right="30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All out of pocket expenses reasonably incurred by us on your behalf will be borne by your Company, where prior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consent will be obtained from you. The fees and expenses do not include Goods and Services Tax (“GST). The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GST (if applicable) will be included in our invoices as a separate item. </w:t>
      </w:r>
    </w:p>
    <w:p>
      <w:pPr>
        <w:autoSpaceDN w:val="0"/>
        <w:autoSpaceDE w:val="0"/>
        <w:widowControl/>
        <w:spacing w:line="270" w:lineRule="exact" w:before="418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OTHER MATTERS </w:t>
      </w:r>
    </w:p>
    <w:p>
      <w:pPr>
        <w:autoSpaceDN w:val="0"/>
        <w:autoSpaceDE w:val="0"/>
        <w:widowControl/>
        <w:spacing w:line="212" w:lineRule="exact" w:before="184" w:after="0"/>
        <w:ind w:left="492" w:right="24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We may communicate with the Entity by electronic mail on the basis that in consenting to this method of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communication the Entity accepts the inherent risks (including the security risks of interception of or unauthorized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access to such communications, the risks of corruption of such communications and the risks of viruses or other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harmful devices) and that the Entity shall ensure performance of virus checks. </w:t>
      </w:r>
    </w:p>
    <w:p>
      <w:pPr>
        <w:autoSpaceDN w:val="0"/>
        <w:autoSpaceDE w:val="0"/>
        <w:widowControl/>
        <w:spacing w:line="212" w:lineRule="exact" w:before="38" w:after="0"/>
        <w:ind w:left="492" w:right="20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We may be required to connect the firm’s computers to the Entity’s network during this engagement.   Entity hereby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provides its consent to this.  While the firm shall take reasonable steps to protect its computers using system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hardening and anti-virus utilities, it shall not be responsible for any damage it may inadvertently cause to the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Entity’s computer and networks. </w:t>
      </w:r>
    </w:p>
    <w:p>
      <w:pPr>
        <w:autoSpaceDN w:val="0"/>
        <w:tabs>
          <w:tab w:pos="492" w:val="left"/>
        </w:tabs>
        <w:autoSpaceDE w:val="0"/>
        <w:widowControl/>
        <w:spacing w:line="206" w:lineRule="exact" w:before="44" w:after="0"/>
        <w:ind w:left="228" w:right="0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If there is any cause for complaint in relation to the services or our staff, Entity is invited, in the first instance, to </w:t>
      </w:r>
      <w:r>
        <w:tab/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report its concerns in confidence to the Engagement Manager or Engagement Partner. </w:t>
      </w:r>
    </w:p>
    <w:p>
      <w:pPr>
        <w:autoSpaceDN w:val="0"/>
        <w:autoSpaceDE w:val="0"/>
        <w:widowControl/>
        <w:spacing w:line="184" w:lineRule="exact" w:before="248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19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134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31890" cy="666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4" w:lineRule="exact" w:before="318" w:after="0"/>
        <w:ind w:left="492" w:right="0" w:hanging="264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The Entity agrees that neither it nor its associated entities, shall solicit, entice away or endeavor / seek / attempt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to entice away, offer employment to or use / recruit / hire the services of any employee of InCorp Advisory Services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Pvt Ltd (who is involved in performing services under this Agreement), without the prior written consent of InCorp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Advisory Services pvt ltd ,during the tenure of this agreement and for a period of twelve (12) months from the date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of termination of this Agreement, except as expressly provided for in this Agreement or where Incorp consents </w:t>
      </w:r>
      <w:r>
        <w:rPr>
          <w:w w:val="98.37079299123663"/>
          <w:rFonts w:ascii="CIDFont+F7" w:hAnsi="CIDFont+F7" w:eastAsia="CIDFont+F7"/>
          <w:b w:val="0"/>
          <w:i w:val="0"/>
          <w:color w:val="404040"/>
          <w:sz w:val="19"/>
        </w:rPr>
        <w:t xml:space="preserve">thereto in writing . </w:t>
      </w:r>
    </w:p>
    <w:p>
      <w:pPr>
        <w:autoSpaceDN w:val="0"/>
        <w:autoSpaceDE w:val="0"/>
        <w:widowControl/>
        <w:spacing w:line="240" w:lineRule="auto" w:before="214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230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64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ENTIRE AGREEMENT </w:t>
      </w:r>
    </w:p>
    <w:p>
      <w:pPr>
        <w:autoSpaceDN w:val="0"/>
        <w:tabs>
          <w:tab w:pos="484" w:val="left"/>
        </w:tabs>
        <w:autoSpaceDE w:val="0"/>
        <w:widowControl/>
        <w:spacing w:line="238" w:lineRule="exact" w:before="122" w:after="0"/>
        <w:ind w:left="146" w:right="288" w:firstLine="0"/>
        <w:jc w:val="left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This engagement letter sets out the entire agreement and understanding between the Entity and us in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connection with the engagement.  It supersedes and relieves us from liability (if any) that might otherwise arise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for any prior agreements, understandings, arrangements, statements or representations (unless made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fraudulently) as to any facts or matters relating to us or the engagement.  Any modifications or variations to </w:t>
      </w:r>
      <w:r>
        <w:tab/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the engagement letter must be in writing and signed by an authorized representative of each party. </w:t>
      </w:r>
    </w:p>
    <w:p>
      <w:pPr>
        <w:autoSpaceDN w:val="0"/>
        <w:autoSpaceDE w:val="0"/>
        <w:widowControl/>
        <w:spacing w:line="240" w:lineRule="auto" w:before="376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230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66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AGREEMENT OF TERMS </w:t>
      </w:r>
    </w:p>
    <w:p>
      <w:pPr>
        <w:autoSpaceDN w:val="0"/>
        <w:autoSpaceDE w:val="0"/>
        <w:widowControl/>
        <w:spacing w:line="222" w:lineRule="exact" w:before="176" w:after="0"/>
        <w:ind w:left="144" w:right="0" w:firstLine="0"/>
        <w:jc w:val="center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are pleased to confirm our acceptance and our understanding of this engagement by means of this letter.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Please confirm in writing your agreement to the terms of this letter by signing and returning the attached copy. </w:t>
      </w:r>
    </w:p>
    <w:p>
      <w:pPr>
        <w:autoSpaceDN w:val="0"/>
        <w:autoSpaceDE w:val="0"/>
        <w:widowControl/>
        <w:spacing w:line="240" w:lineRule="auto" w:before="224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23000" cy="127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74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EXCLUSIONS </w:t>
      </w:r>
    </w:p>
    <w:p>
      <w:pPr>
        <w:autoSpaceDN w:val="0"/>
        <w:autoSpaceDE w:val="0"/>
        <w:widowControl/>
        <w:spacing w:line="224" w:lineRule="exact" w:before="178" w:after="0"/>
        <w:ind w:left="492" w:right="28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This letter of engagement specifically excludes other specific services provided by the Firm to its clients like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restructuring of businesses or companies, schemes of arrangements, internal audit, valuation certificates etc. In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the event Entity desire to avail any of these services from the Firm, both the parties shall enter into separate letter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of engagements on the terms and conditions as may be mutually agreed. </w:t>
      </w:r>
    </w:p>
    <w:p>
      <w:pPr>
        <w:autoSpaceDN w:val="0"/>
        <w:autoSpaceDE w:val="0"/>
        <w:widowControl/>
        <w:spacing w:line="270" w:lineRule="exact" w:before="418" w:after="0"/>
        <w:ind w:left="12" w:right="0" w:firstLine="0"/>
        <w:jc w:val="left"/>
      </w:pPr>
      <w:r>
        <w:rPr>
          <w:w w:val="97.90630340576172"/>
          <w:rFonts w:ascii="CIDFont+F4" w:hAnsi="CIDFont+F4" w:eastAsia="CIDFont+F4"/>
          <w:b w:val="0"/>
          <w:i w:val="0"/>
          <w:color w:val="BB2121"/>
          <w:sz w:val="23"/>
        </w:rPr>
        <w:t xml:space="preserve">DISCLAIMER </w:t>
      </w:r>
    </w:p>
    <w:p>
      <w:pPr>
        <w:autoSpaceDN w:val="0"/>
        <w:autoSpaceDE w:val="0"/>
        <w:widowControl/>
        <w:spacing w:line="226" w:lineRule="exact" w:before="172" w:after="0"/>
        <w:ind w:left="492" w:right="26" w:hanging="264"/>
        <w:jc w:val="both"/>
      </w:pPr>
      <w:r>
        <w:rPr>
          <w:w w:val="98.39426123577616"/>
          <w:rFonts w:ascii="CIDFont+F4" w:hAnsi="CIDFont+F4" w:eastAsia="CIDFont+F4"/>
          <w:b w:val="0"/>
          <w:i w:val="0"/>
          <w:color w:val="BB2121"/>
          <w:sz w:val="23"/>
        </w:rPr>
        <w:t>•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It is distinctly understood and agreed that neither (Incorp Advisory Services Pvt. Ltd.), nor its partners or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employees will be liable to your company in connection with the subject assignment. This exclusion will apply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despite any express or implied covenants, terms or conditions of this assignment letter or any collateral or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incidental agreement or warranty or any representation. This exclusion will not cover any acts, omissions or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representations, which are in any case illegal on the part of (Incorp Advisory Services Pvt. Ltd.), its partners or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employees or to any liability which cannot be excluded by law. All the acts and deeds under this assignment will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be in compliance with all applicable laws, Regulations, Guidelines and Circulars. </w:t>
      </w:r>
    </w:p>
    <w:p>
      <w:pPr>
        <w:autoSpaceDN w:val="0"/>
        <w:autoSpaceDE w:val="0"/>
        <w:widowControl/>
        <w:spacing w:line="224" w:lineRule="exact" w:before="356" w:after="0"/>
        <w:ind w:left="12" w:right="0" w:firstLine="0"/>
        <w:jc w:val="left"/>
      </w:pP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We appreciate the opportunity to be of service to the Entity. </w:t>
      </w:r>
    </w:p>
    <w:p>
      <w:pPr>
        <w:autoSpaceDN w:val="0"/>
        <w:autoSpaceDE w:val="0"/>
        <w:widowControl/>
        <w:spacing w:line="242" w:lineRule="exact" w:before="204" w:after="0"/>
        <w:ind w:left="12" w:right="288" w:firstLine="0"/>
        <w:jc w:val="left"/>
      </w:pPr>
      <w:r>
        <w:rPr>
          <w:w w:val="98.37079299123663"/>
          <w:rFonts w:ascii="CIDFont+F2" w:hAnsi="CIDFont+F2" w:eastAsia="CIDFont+F2"/>
          <w:b/>
          <w:i w:val="0"/>
          <w:color w:val="404040"/>
          <w:sz w:val="19"/>
        </w:rPr>
        <w:t xml:space="preserve">We hope to hear from you favourably on our proposal. Please do not hesitate to let us know if you need further </w:t>
      </w:r>
      <w:r>
        <w:rPr>
          <w:w w:val="98.37079299123663"/>
          <w:rFonts w:ascii="CIDFont+F2" w:hAnsi="CIDFont+F2" w:eastAsia="CIDFont+F2"/>
          <w:b/>
          <w:i w:val="0"/>
          <w:color w:val="404040"/>
          <w:sz w:val="19"/>
        </w:rPr>
        <w:t xml:space="preserve">clarifications. </w:t>
      </w:r>
    </w:p>
    <w:p>
      <w:pPr>
        <w:autoSpaceDN w:val="0"/>
        <w:autoSpaceDE w:val="0"/>
        <w:widowControl/>
        <w:spacing w:line="226" w:lineRule="exact" w:before="170" w:after="0"/>
        <w:ind w:left="12" w:right="0" w:firstLine="0"/>
        <w:jc w:val="left"/>
      </w:pP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This proposal specifically excludes other specific services provided by the Firm to its clients like restructuring of </w:t>
      </w:r>
      <w:r>
        <w:rPr>
          <w:w w:val="98.37079299123663"/>
          <w:rFonts w:ascii="CIDFont+F1" w:hAnsi="CIDFont+F1" w:eastAsia="CIDFont+F1"/>
          <w:b w:val="0"/>
          <w:i w:val="0"/>
          <w:color w:val="404040"/>
          <w:sz w:val="19"/>
        </w:rPr>
        <w:t xml:space="preserve">businesses or companies, schemes of arrangements, internal audit, valuation certificates etc </w:t>
      </w:r>
    </w:p>
    <w:p>
      <w:pPr>
        <w:autoSpaceDN w:val="0"/>
        <w:autoSpaceDE w:val="0"/>
        <w:widowControl/>
        <w:spacing w:line="184" w:lineRule="exact" w:before="1636" w:after="0"/>
        <w:ind w:left="12" w:right="0" w:firstLine="0"/>
        <w:jc w:val="left"/>
      </w:pPr>
      <w:r>
        <w:rPr>
          <w:rFonts w:ascii="CIDFont+F6" w:hAnsi="CIDFont+F6" w:eastAsia="CIDFont+F6"/>
          <w:b w:val="0"/>
          <w:i w:val="0"/>
          <w:color w:val="BB2121"/>
          <w:sz w:val="15"/>
        </w:rPr>
        <w:t xml:space="preserve">www.incorp.asia    Page 20 of 21 </w:t>
      </w:r>
    </w:p>
    <w:p>
      <w:pPr>
        <w:autoSpaceDN w:val="0"/>
        <w:autoSpaceDE w:val="0"/>
        <w:widowControl/>
        <w:spacing w:line="138" w:lineRule="exact" w:before="186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 xml:space="preserve">© In.Corp Global Pte Ltd. All Right Reserved. </w:t>
      </w:r>
    </w:p>
    <w:p>
      <w:pPr>
        <w:autoSpaceDN w:val="0"/>
        <w:autoSpaceDE w:val="0"/>
        <w:widowControl/>
        <w:spacing w:line="136" w:lineRule="exact" w:before="2" w:after="0"/>
        <w:ind w:left="12" w:right="0" w:firstLine="0"/>
        <w:jc w:val="left"/>
      </w:pP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This document is being furnished to you on a confiden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al basis and solely for your informa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Ɵ</w:t>
      </w:r>
      <w:r>
        <w:rPr>
          <w:w w:val="102.35685868696733"/>
          <w:rFonts w:ascii="CIDFont+F6" w:hAnsi="CIDFont+F6" w:eastAsia="CIDFont+F6"/>
          <w:b w:val="0"/>
          <w:i w:val="0"/>
          <w:color w:val="7F7F7F"/>
          <w:sz w:val="11"/>
        </w:rPr>
        <w:t>on.</w:t>
      </w:r>
    </w:p>
    <w:p>
      <w:pPr>
        <w:sectPr>
          <w:pgSz w:w="12240" w:h="15840"/>
          <w:pgMar w:top="338" w:right="1138" w:bottom="338" w:left="11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</wp:posOffset>
            </wp:positionH>
            <wp:positionV relativeFrom="page">
              <wp:posOffset>1270</wp:posOffset>
            </wp:positionV>
            <wp:extent cx="7156450" cy="1005394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10053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432" w:right="0" w:firstLine="0"/>
        <w:jc w:val="left"/>
      </w:pPr>
      <w:r>
        <w:rPr>
          <w:w w:val="101.33307530329778"/>
          <w:rFonts w:ascii="CIDFont+F2" w:hAnsi="CIDFont+F2" w:eastAsia="CIDFont+F2"/>
          <w:b/>
          <w:i w:val="0"/>
          <w:color w:val="404040"/>
          <w:sz w:val="26"/>
        </w:rPr>
        <w:t xml:space="preserve">In.Corp Advisory Services Pvt. Ltd. </w:t>
      </w:r>
    </w:p>
    <w:p>
      <w:pPr>
        <w:autoSpaceDN w:val="0"/>
        <w:autoSpaceDE w:val="0"/>
        <w:widowControl/>
        <w:spacing w:line="268" w:lineRule="exact" w:before="152" w:after="0"/>
        <w:ind w:left="432" w:right="6624" w:firstLine="0"/>
        <w:jc w:val="left"/>
      </w:pP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B wing - 1602, </w:t>
      </w:r>
      <w:r>
        <w:br/>
      </w: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ONE BKC, G Block BKC, </w:t>
      </w:r>
      <w:r>
        <w:br/>
      </w: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Bandra Kurla Complex, </w:t>
      </w:r>
      <w:r>
        <w:br/>
      </w: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 xml:space="preserve">Bandra East, Mumbai, </w:t>
      </w:r>
      <w:r>
        <w:br/>
      </w:r>
      <w:r>
        <w:rPr>
          <w:w w:val="98.65285782586962"/>
          <w:rFonts w:ascii="CIDFont+F1" w:hAnsi="CIDFont+F1" w:eastAsia="CIDFont+F1"/>
          <w:b w:val="0"/>
          <w:i w:val="0"/>
          <w:color w:val="404040"/>
          <w:sz w:val="21"/>
        </w:rPr>
        <w:t>Maharashtra 400051</w:t>
      </w:r>
    </w:p>
    <w:p>
      <w:pPr>
        <w:autoSpaceDN w:val="0"/>
        <w:autoSpaceDE w:val="0"/>
        <w:widowControl/>
        <w:spacing w:line="294" w:lineRule="exact" w:before="876" w:after="0"/>
        <w:ind w:left="432" w:right="5040" w:firstLine="0"/>
        <w:jc w:val="left"/>
      </w:pPr>
      <w:r>
        <w:rPr>
          <w:w w:val="97.90630340576172"/>
          <w:rFonts w:ascii="CIDFont+F1" w:hAnsi="CIDFont+F1" w:eastAsia="CIDFont+F1"/>
          <w:b w:val="0"/>
          <w:i w:val="0"/>
          <w:color w:val="404040"/>
          <w:sz w:val="23"/>
        </w:rPr>
        <w:t xml:space="preserve">Phone: +917400033322 </w:t>
      </w:r>
      <w:r>
        <w:br/>
      </w:r>
      <w:r>
        <w:rPr>
          <w:w w:val="97.90630340576172"/>
          <w:rFonts w:ascii="CIDFont+F1" w:hAnsi="CIDFont+F1" w:eastAsia="CIDFont+F1"/>
          <w:b w:val="0"/>
          <w:i w:val="0"/>
          <w:color w:val="404040"/>
          <w:sz w:val="23"/>
        </w:rPr>
        <w:t xml:space="preserve">E-mail: bansi.shah@incorpadvisory.in </w:t>
      </w:r>
      <w:r>
        <w:br/>
      </w:r>
      <w:r>
        <w:rPr>
          <w:w w:val="97.90630340576172"/>
          <w:rFonts w:ascii="CIDFont+F1" w:hAnsi="CIDFont+F1" w:eastAsia="CIDFont+F1"/>
          <w:b w:val="0"/>
          <w:i w:val="0"/>
          <w:color w:val="404040"/>
          <w:sz w:val="23"/>
        </w:rPr>
        <w:t>Website: https://incorpadvisory.in/</w:t>
      </w:r>
    </w:p>
    <w:p>
      <w:pPr>
        <w:autoSpaceDN w:val="0"/>
        <w:autoSpaceDE w:val="0"/>
        <w:widowControl/>
        <w:spacing w:line="248" w:lineRule="exact" w:before="1650" w:after="0"/>
        <w:ind w:left="432" w:right="0" w:firstLine="0"/>
        <w:jc w:val="left"/>
      </w:pPr>
      <w:r>
        <w:rPr>
          <w:w w:val="98.65285782586962"/>
          <w:rFonts w:ascii="CIDFont+F2" w:hAnsi="CIDFont+F2" w:eastAsia="CIDFont+F2"/>
          <w:b/>
          <w:i w:val="0"/>
          <w:color w:val="404040"/>
          <w:sz w:val="21"/>
        </w:rPr>
        <w:t xml:space="preserve">FOLLOW US ON: </w:t>
      </w:r>
    </w:p>
    <w:p>
      <w:pPr>
        <w:autoSpaceDN w:val="0"/>
        <w:autoSpaceDE w:val="0"/>
        <w:widowControl/>
        <w:spacing w:line="204" w:lineRule="exact" w:before="668" w:after="0"/>
        <w:ind w:left="432" w:right="0" w:firstLine="0"/>
        <w:jc w:val="left"/>
      </w:pPr>
      <w:r>
        <w:rPr>
          <w:rFonts w:ascii="CIDFont+F1" w:hAnsi="CIDFont+F1" w:eastAsia="CIDFont+F1"/>
          <w:b w:val="0"/>
          <w:i w:val="0"/>
          <w:color w:val="808080"/>
          <w:sz w:val="17"/>
        </w:rPr>
        <w:t xml:space="preserve">Copyright ©2024 In.Corp Global Pte Ltd. </w:t>
      </w:r>
    </w:p>
    <w:p>
      <w:pPr>
        <w:autoSpaceDN w:val="0"/>
        <w:autoSpaceDE w:val="0"/>
        <w:widowControl/>
        <w:spacing w:line="202" w:lineRule="exact" w:before="90" w:after="0"/>
        <w:ind w:left="432" w:right="0" w:firstLine="0"/>
        <w:jc w:val="left"/>
      </w:pPr>
      <w:r>
        <w:rPr>
          <w:rFonts w:ascii="CIDFont+F1" w:hAnsi="CIDFont+F1" w:eastAsia="CIDFont+F1"/>
          <w:b w:val="0"/>
          <w:i w:val="0"/>
          <w:color w:val="808080"/>
          <w:sz w:val="17"/>
        </w:rPr>
        <w:t xml:space="preserve">All rights reserved. </w:t>
      </w:r>
    </w:p>
    <w:sectPr w:rsidR="00FC693F" w:rsidRPr="0006063C" w:rsidSect="00034616">
      <w:pgSz w:w="12240" w:h="15840"/>
      <w:pgMar w:top="1440" w:right="1440" w:bottom="131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