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J3K</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2"/>
          <w:szCs w:val="22"/>
        </w:rPr>
        <w:t xml:space="preserve">24. 01. 2025</w:t>
      </w:r>
    </w:p>
    <w:p>
      <w:pPr>
        <w:spacing w:after="60"/>
      </w:pPr>
    </w:p>
    <w:p>
      <w:pPr>
        <w:spacing w:after="40"/>
        <w:jc w:val="both"/>
      </w:pPr>
      <w:r>
        <w:rPr>
          <w:rFonts w:ascii="Roboto" w:hAnsi="Roboto"/>
          <w:sz w:val="22"/>
          <w:szCs w:val="22"/>
        </w:rPr>
        <w:t xml:space="preserve">asxa</w:t>
      </w:r>
    </w:p>
    <w:p>
      <w:pPr>
        <w:spacing w:after="40"/>
        <w:jc w:val="both"/>
      </w:pPr>
      <w:r>
        <w:rPr>
          <w:rFonts w:ascii="Roboto" w:hAnsi="Roboto"/>
          <w:sz w:val="22"/>
          <w:szCs w:val="22"/>
        </w:rPr>
        <w:t xml:space="preserve">jd</w:t>
      </w:r>
    </w:p>
    <w:p>
      <w:pPr>
        <w:spacing w:after="40"/>
        <w:jc w:val="both"/>
      </w:pPr>
      <w:r>
        <w:rPr>
          <w:rFonts w:ascii="Roboto" w:hAnsi="Roboto"/>
          <w:sz w:val="22"/>
          <w:szCs w:val="22"/>
        </w:rPr>
        <w:t xml:space="preserve">j3k</w:t>
      </w:r>
    </w:p>
    <w:p>
      <w:pPr>
        <w:spacing w:after="40"/>
        <w:jc w:val="both"/>
      </w:pPr>
      <w:r>
        <w:rPr>
          <w:rFonts w:ascii="Roboto" w:hAnsi="Roboto"/>
          <w:sz w:val="22"/>
          <w:szCs w:val="22"/>
        </w:rPr>
        <w:t xml:space="preserve">A</w:t>
      </w:r>
    </w:p>
    <w:p>
      <w:pPr>
        <w:spacing w:after="40"/>
        <w:jc w:val="both"/>
      </w:pPr>
      <w:r>
        <w:rPr>
          <w:rFonts w:ascii="Roboto" w:hAnsi="Roboto"/>
          <w:sz w:val="22"/>
          <w:szCs w:val="22"/>
        </w:rPr>
        <w:t xml:space="preserve">A</w:t>
      </w:r>
    </w:p>
    <w:p>
      <w:pPr>
        <w:spacing w:after="40"/>
        <w:jc w:val="both"/>
      </w:pPr>
      <w:r>
        <w:rPr>
          <w:rFonts w:ascii="Roboto" w:hAnsi="Roboto"/>
          <w:sz w:val="22"/>
          <w:szCs w:val="22"/>
        </w:rPr>
        <w:t xml:space="preserve">A</w:t>
      </w:r>
    </w:p>
    <w:p>
      <w:pPr>
        <w:spacing w:after="200"/>
      </w:pPr>
    </w:p>
    <w:p>
      <w:pPr>
        <w:spacing w:after="40"/>
        <w:jc w:val="both"/>
      </w:pPr>
      <w:r>
        <w:rPr>
          <w:rFonts w:ascii="Roboto" w:hAnsi="Roboto"/>
          <w:sz w:val="22"/>
          <w:szCs w:val="22"/>
        </w:rPr>
        <w:t xml:space="preserve">Dear asxa,</w:t>
      </w:r>
    </w:p>
    <w:p>
      <w:pPr>
        <w:spacing w:after="60"/>
      </w:pPr>
    </w:p>
    <w:p>
      <w:pPr>
        <w:spacing w:after="80"/>
        <w:jc w:val="both"/>
      </w:pPr>
      <w:r>
        <w:rPr>
          <w:rFonts w:ascii="Roboto" w:hAnsi="Roboto"/>
          <w:b/>
          <w:sz w:val="18"/>
          <w:szCs w:val="18"/>
          <w:color w:val="C00000"/>
        </w:rPr>
        <w:t xml:space="preserve">RE: FEE PROPOSAL</w:t>
      </w:r>
    </w:p>
    <w:p>
      <w:pPr>
        <w:spacing w:after="40"/>
        <w:jc w:val="both"/>
      </w:pPr>
      <w:r>
        <w:rPr>
          <w:rFonts w:ascii="Roboto" w:hAnsi="Roboto"/>
          <w:sz w:val="22"/>
          <w:szCs w:val="22"/>
        </w:rPr>
        <w:t xml:space="preserve">We are pleased to be presenting our proposal to you.</w:t>
      </w:r>
    </w:p>
    <w:p>
      <w:pPr>
        <w:spacing w:after="40"/>
        <w:jc w:val="both"/>
      </w:pPr>
    </w:p>
    <w:p>
      <w:pPr>
        <w:spacing w:after="40"/>
        <w:jc w:val="both"/>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2"/>
          <w:szCs w:val="22"/>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0"/>
          <w:szCs w:val="20"/>
        </w:rPr>
        <w:t xml:space="preserve">CA Bansi Shah</w:t>
      </w:r>
    </w:p>
    <w:p>
      <w:pPr>
        <w:spacing w:after="40"/>
        <w:jc w:val="both"/>
      </w:pPr>
      <w:r>
        <w:rPr>
          <w:rFonts w:ascii="Roboto" w:hAnsi="Roboto"/>
          <w:b/>
          <w:sz w:val="20"/>
          <w:szCs w:val="20"/>
        </w:rPr>
        <w:t xml:space="preserve">Lead – International clients group</w:t>
      </w:r>
    </w:p>
    <w:p>
      <w:pPr>
        <w:spacing w:after="40"/>
        <w:jc w:val="both"/>
      </w:pPr>
      <w:r>
        <w:rPr>
          <w:rFonts w:ascii="Roboto" w:hAnsi="Roboto"/>
          <w:b/>
          <w:sz w:val="20"/>
          <w:szCs w:val="20"/>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40"/>
        <w:ind w:left="200" w:hanging="200"/>
        <w:jc w:val="both"/>
      </w:pPr>
      <w:r>
        <w:rPr>
          <w:rFonts w:ascii="Roboto" w:hAnsi="Roboto"/>
          <w:sz w:val="20"/>
          <w:szCs w:val="20"/>
        </w:rPr>
        <w:t xml:space="preserve">• A</w:t>
      </w:r>
    </w:p>
    <w:p>
      <w:pPr>
        <w:spacing w:after="40"/>
        <w:ind w:left="200" w:hanging="200"/>
        <w:jc w:val="both"/>
      </w:pPr>
      <w:r>
        <w:rPr>
          <w:rFonts w:ascii="Roboto" w:hAnsi="Roboto"/>
          <w:sz w:val="20"/>
          <w:szCs w:val="20"/>
        </w:rPr>
        <w:t xml:space="preserve">• B</w:t>
      </w:r>
    </w:p>
    <w:p>
      <w:pPr>
        <w:spacing w:after="60"/>
      </w:pPr>
    </w:p>
    <w:p>
      <w:pPr>
        <w:spacing w:before="240" w:after="200"/>
      </w:pPr>
      <w:r>
        <w:rPr>
          <w:rFonts w:ascii="Roboto" w:hAnsi="Roboto"/>
          <w:b/>
          <w:sz w:val="24"/>
          <w:szCs w:val="24"/>
          <w:color w:val="C00000"/>
        </w:rPr>
        <w:t xml:space="preserve">FEES</w:t>
      </w:r>
    </w:p>
    <w:p>
      <w:pPr>
        <w:spacing w:after="40"/>
        <w:jc w:val="both"/>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2"/>
          <w:szCs w:val="22"/>
          <w:color w:val="C00000"/>
        </w:rPr>
        <w:t xml:space="preserve">A. One time Handover Service</w:t>
      </w:r>
    </w:p>
    <w:p>
      <w:pPr>
        <w:spacing w:after="40"/>
        <w:jc w:val="both"/>
      </w:pPr>
      <w:r>
        <w:rPr>
          <w:rFonts w:ascii="Roboto" w:hAnsi="Roboto"/>
          <w:sz w:val="22"/>
          <w:szCs w:val="22"/>
        </w:rPr>
        <w:t xml:space="preserve">Since the company has been in existence since 35vfe, we shall need to undertake a handover of the current financial, secretarial, payroll and other records of the company from current service provider.</w:t>
      </w:r>
    </w:p>
    <w:p>
      <w:pPr>
        <w:spacing w:after="6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jc w:val="both"/>
            </w:pPr>
            <w:r>
              <w:rPr>
                <w:rFonts w:ascii="Roboto" w:hAnsi="Roboto"/>
                <w:b/>
                <w:sz w:val="18"/>
                <w:szCs w:val="18"/>
                <w:color w:val="C00000"/>
              </w:rPr>
              <w:t xml:space="preserve">Handover from erstwhile service provider of various records under laws as mentioned below. This process does not entail conducting a due diligence.</w:t>
            </w:r>
          </w:p>
          <w:p>
            <w:pPr>
              <w:spacing w:after="40"/>
              <w:ind w:left="200" w:hanging="200"/>
              <w:jc w:val="both"/>
            </w:pPr>
            <w:r>
              <w:rPr>
                <w:rFonts w:ascii="Roboto" w:hAnsi="Roboto"/>
                <w:sz w:val="20"/>
                <w:szCs w:val="20"/>
              </w:rPr>
              <w:t xml:space="preserve">• GST laws/regulations</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Basic due diligence from perspective of*–</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Goods and Service Tax Act, 2017</w:t>
            </w:r>
          </w:p>
          <w:p>
            <w:pPr>
              <w:spacing w:after="40"/>
              <w:ind w:left="200" w:hanging="200"/>
              <w:jc w:val="both"/>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 per year</w:t>
            </w:r>
          </w:p>
        </w:tc>
      </w:tr>
    </w:tbl>
    <w:p>
      <w:pPr>
        <w:spacing w:after="60"/>
      </w:pPr>
    </w:p>
    <w:p>
      <w:pPr>
        <w:spacing w:after="40"/>
        <w:jc w:val="both"/>
      </w:pPr>
      <w:r>
        <w:rPr>
          <w:rFonts w:ascii="Roboto" w:hAnsi="Roboto"/>
          <w:b/>
          <w:i/>
          <w:sz w:val="18"/>
          <w:szCs w:val="18"/>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B. Incorporation / Secretarial Service and Mandatory Registrations post Incorporation</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Incorporation</w:t>
            </w:r>
          </w:p>
          <w:p>
            <w:pPr>
              <w:spacing w:after="40"/>
              <w:ind w:left="200" w:hanging="200"/>
              <w:jc w:val="both"/>
            </w:pPr>
            <w:r>
              <w:rPr>
                <w:rFonts w:ascii="Roboto" w:hAnsi="Roboto"/>
                <w:sz w:val="20"/>
                <w:szCs w:val="20"/>
              </w:rPr>
              <w:t xml:space="preserve">• PAN of the company included</w:t>
            </w:r>
          </w:p>
          <w:p>
            <w:pPr>
              <w:spacing w:after="40"/>
              <w:ind w:left="200" w:hanging="200"/>
              <w:jc w:val="both"/>
            </w:pPr>
            <w:r>
              <w:rPr>
                <w:rFonts w:ascii="Roboto" w:hAnsi="Roboto"/>
                <w:sz w:val="20"/>
                <w:szCs w:val="20"/>
              </w:rPr>
              <w:t xml:space="preserve">• TAN of the company included</w:t>
            </w:r>
          </w:p>
          <w:p>
            <w:pPr>
              <w:spacing w:after="40"/>
              <w:ind w:left="200" w:hanging="200"/>
              <w:jc w:val="both"/>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Goods &amp; Service Tax (GST)</w:t>
            </w:r>
          </w:p>
          <w:p>
            <w:pPr>
              <w:spacing w:after="40"/>
              <w:jc w:val="both"/>
            </w:pPr>
            <w:r>
              <w:rPr>
                <w:rFonts w:ascii="Roboto" w:hAnsi="Roboto"/>
                <w:sz w:val="22"/>
                <w:szCs w:val="22"/>
              </w:rPr>
              <w:t xml:space="preserve">Registration of single location with GST authorities.</w:t>
            </w:r>
          </w:p>
          <w:p>
            <w:pPr>
              <w:spacing w:before="40" w:after="4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Statutory Compliances with Registrar of Companies under Companies Act:</w:t>
            </w:r>
          </w:p>
          <w:p>
            <w:pPr>
              <w:spacing w:after="40"/>
              <w:ind w:left="200" w:hanging="200"/>
              <w:jc w:val="both"/>
            </w:pPr>
            <w:r>
              <w:rPr>
                <w:rFonts w:ascii="Roboto" w:hAnsi="Roboto"/>
                <w:sz w:val="20"/>
                <w:szCs w:val="20"/>
              </w:rPr>
              <w:t xml:space="preserve">• Drafting of first board meeting documents</w:t>
            </w:r>
          </w:p>
          <w:p>
            <w:pPr>
              <w:spacing w:after="40"/>
              <w:ind w:left="200" w:hanging="200"/>
              <w:jc w:val="both"/>
            </w:pPr>
            <w:r>
              <w:rPr>
                <w:rFonts w:ascii="Roboto" w:hAnsi="Roboto"/>
                <w:sz w:val="20"/>
                <w:szCs w:val="20"/>
              </w:rPr>
              <w:t xml:space="preserve">• Guidance on capital infusion in bank account</w:t>
            </w:r>
          </w:p>
          <w:p>
            <w:pPr>
              <w:spacing w:after="40"/>
              <w:ind w:left="200" w:hanging="200"/>
              <w:jc w:val="both"/>
            </w:pPr>
            <w:r>
              <w:rPr>
                <w:rFonts w:ascii="Roboto" w:hAnsi="Roboto"/>
                <w:sz w:val="20"/>
                <w:szCs w:val="20"/>
              </w:rPr>
              <w:t xml:space="preserve">• File form with Ministry for commencement of business (COC)</w:t>
            </w:r>
          </w:p>
          <w:p>
            <w:pPr>
              <w:spacing w:after="40"/>
              <w:ind w:left="200" w:hanging="200"/>
              <w:jc w:val="both"/>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w:t>
            </w:r>
          </w:p>
        </w:tc>
      </w:tr>
    </w:tbl>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Optional registrations required post incorporation (One-time)</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Profession Tax (PT)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director</w:t>
            </w:r>
          </w:p>
        </w:tc>
      </w:tr>
    </w:tbl>
    <w:p>
      <w:pPr>
        <w:spacing w:after="60"/>
      </w:pPr>
    </w:p>
    <w:p>
      <w:pPr>
        <w:spacing w:before="40" w:after="40"/>
      </w:pPr>
      <w:r>
        <w:rPr>
          <w:rFonts w:ascii="Roboto" w:hAnsi="Roboto"/>
          <w:i/>
          <w:sz w:val="20"/>
          <w:szCs w:val="20"/>
        </w:rPr>
        <w:t xml:space="preserve">*For every new director’s professional tax no., there shall be additional cost of $100 per director</w:t>
      </w:r>
    </w:p>
    <w:p>
      <w:pPr>
        <w:spacing w:before="40" w:after="40"/>
      </w:pPr>
      <w:r>
        <w:rPr>
          <w:rFonts w:ascii="Roboto" w:hAnsi="Roboto"/>
          <w:i/>
          <w:sz w:val="20"/>
          <w:szCs w:val="20"/>
        </w:rPr>
        <w:t xml:space="preserve">*Digital signature certificate (DSC) token can be obtained at a cost of USD 200 per applicant.</w:t>
      </w:r>
    </w:p>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Registered Office Service</w:t>
            </w:r>
          </w:p>
          <w:p>
            <w:pPr>
              <w:spacing w:after="40"/>
              <w:jc w:val="both"/>
            </w:pPr>
            <w:r>
              <w:rPr>
                <w:rFonts w:ascii="Roboto" w:hAnsi="Roboto"/>
                <w:sz w:val="22"/>
                <w:szCs w:val="22"/>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300</w:t>
            </w:r>
          </w:p>
        </w:tc>
      </w:tr>
    </w:tbl>
    <w:p>
      <w:pPr>
        <w:spacing w:after="40"/>
      </w:pPr>
    </w:p>
    <w:p>
      <w:pPr>
        <w:spacing w:before="40" w:after="40"/>
      </w:pPr>
      <w:r>
        <w:rPr>
          <w:rFonts w:ascii="Roboto" w:hAnsi="Roboto"/>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after="20"/>
      </w:pPr>
    </w:p>
    <w:p>
      <w:pPr>
        <w:spacing w:before="40" w:after="40"/>
      </w:pPr>
      <w:r>
        <w:rPr>
          <w:rFonts w:ascii="Roboto" w:hAnsi="Roboto"/>
          <w:i/>
          <w:sz w:val="20"/>
          <w:szCs w:val="20"/>
        </w:rPr>
        <w:t xml:space="preserve">**Any fees for rectification (or) completion of pending past compliances shall attract additional fees and we shall seek your approval prior to commencement of that work.</w:t>
      </w:r>
    </w:p>
    <w:p>
      <w:pPr>
        <w:spacing w:after="20"/>
      </w:pPr>
    </w:p>
    <w:p>
      <w:pPr>
        <w:spacing w:before="40" w:after="40"/>
      </w:pPr>
      <w:r>
        <w:rPr>
          <w:rFonts w:ascii="Roboto" w:hAnsi="Roboto"/>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after="40"/>
        <w:ind w:left="200" w:hanging="200"/>
        <w:jc w:val="both"/>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C. Accounting / Tax / Payroll / Annual Compliance Services</w:t>
      </w:r>
    </w:p>
    <w:p>
      <w:pPr>
        <w:spacing w:after="40"/>
      </w:pPr>
    </w:p>
    <w:p>
      <w:pPr/>
      <w:r>
        <w:rPr>
          <w:rFonts w:ascii="Microsoft Sans Serif" w:hAnsi="Microsoft Sans Serif"/>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18"/>
                <w:szCs w:val="18"/>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Advance tax Compliances</w:t>
            </w:r>
          </w:p>
          <w:p>
            <w:pPr>
              <w:spacing w:after="40"/>
              <w:jc w:val="both"/>
            </w:pPr>
            <w:r>
              <w:rPr>
                <w:rFonts w:ascii="Roboto" w:hAnsi="Roboto"/>
                <w:sz w:val="22"/>
                <w:szCs w:val="22"/>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2) TDS compliances:</w:t>
            </w:r>
          </w:p>
          <w:p>
            <w:pPr>
              <w:spacing w:after="40"/>
              <w:jc w:val="both"/>
            </w:pPr>
            <w:r>
              <w:rPr>
                <w:rFonts w:ascii="Roboto" w:hAnsi="Roboto"/>
                <w:sz w:val="22"/>
                <w:szCs w:val="22"/>
              </w:rPr>
              <w:t xml:space="preserve">• Calculation and Payment of TDS</w:t>
            </w:r>
          </w:p>
          <w:p>
            <w:pPr>
              <w:spacing w:after="40"/>
              <w:jc w:val="both"/>
            </w:pPr>
            <w:r>
              <w:rPr>
                <w:rFonts w:ascii="Roboto" w:hAnsi="Roboto"/>
                <w:sz w:val="22"/>
                <w:szCs w:val="22"/>
              </w:rPr>
              <w:t xml:space="preserve">• Filing of TDS Returns</w:t>
            </w:r>
          </w:p>
          <w:p>
            <w:pPr>
              <w:spacing w:after="40"/>
              <w:jc w:val="both"/>
            </w:pPr>
            <w:r>
              <w:rPr>
                <w:rFonts w:ascii="Roboto" w:hAnsi="Roboto"/>
                <w:sz w:val="22"/>
                <w:szCs w:val="22"/>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GST Compliances:</w:t>
            </w:r>
          </w:p>
          <w:p>
            <w:pPr>
              <w:spacing w:after="40"/>
              <w:jc w:val="both"/>
            </w:pPr>
            <w:r>
              <w:rPr>
                <w:rFonts w:ascii="Roboto" w:hAnsi="Roboto"/>
                <w:sz w:val="22"/>
                <w:szCs w:val="22"/>
              </w:rPr>
              <w:t xml:space="preserve">• Calculations and payment of GST</w:t>
            </w:r>
          </w:p>
          <w:p>
            <w:pPr>
              <w:spacing w:after="40"/>
              <w:jc w:val="both"/>
            </w:pPr>
            <w:r>
              <w:rPr>
                <w:rFonts w:ascii="Roboto" w:hAnsi="Roboto"/>
                <w:sz w:val="22"/>
                <w:szCs w:val="22"/>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Company Law Compliances (Scope as per Annexure 1)</w:t>
            </w:r>
          </w:p>
          <w:p>
            <w:pPr>
              <w:spacing w:after="40"/>
              <w:jc w:val="both"/>
            </w:pPr>
            <w:r>
              <w:rPr>
                <w:rFonts w:ascii="Roboto" w:hAnsi="Roboto"/>
                <w:sz w:val="22"/>
                <w:szCs w:val="22"/>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Accounting and maintenance of books of accounts:</w:t>
            </w:r>
          </w:p>
          <w:p>
            <w:pPr>
              <w:spacing w:after="40"/>
              <w:jc w:val="both"/>
            </w:pPr>
            <w:r>
              <w:rPr>
                <w:rFonts w:ascii="Roboto" w:hAnsi="Roboto"/>
                <w:sz w:val="22"/>
                <w:szCs w:val="22"/>
              </w:rPr>
              <w:t xml:space="preserve">• Data entry in accounting software</w:t>
            </w:r>
          </w:p>
          <w:p>
            <w:pPr>
              <w:spacing w:after="40"/>
              <w:jc w:val="both"/>
            </w:pPr>
            <w:r>
              <w:rPr>
                <w:rFonts w:ascii="Roboto" w:hAnsi="Roboto"/>
                <w:sz w:val="22"/>
                <w:szCs w:val="22"/>
              </w:rPr>
              <w:t xml:space="preserve">• Weekly processing of Bank Reconciliation</w:t>
            </w:r>
          </w:p>
          <w:p>
            <w:pPr>
              <w:spacing w:after="40"/>
              <w:jc w:val="both"/>
            </w:pPr>
            <w:r>
              <w:rPr>
                <w:rFonts w:ascii="Roboto" w:hAnsi="Roboto"/>
                <w:sz w:val="22"/>
                <w:szCs w:val="22"/>
              </w:rPr>
              <w:t xml:space="preserve">• Weekly processing of Purchase invoices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18"/>
                <w:szCs w:val="18"/>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Obtaining Shop and establishment registration</w:t>
            </w:r>
          </w:p>
          <w:p>
            <w:pPr>
              <w:spacing w:after="40"/>
              <w:jc w:val="both"/>
            </w:pPr>
            <w:r>
              <w:rPr>
                <w:rFonts w:ascii="Roboto" w:hAnsi="Roboto"/>
                <w:sz w:val="22"/>
                <w:szCs w:val="22"/>
              </w:rPr>
              <w:t xml:space="preserve">2. Drafting of POSH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Processing (Scope as per Annexure 3)</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125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Labour Law Compliances:</w:t>
            </w:r>
          </w:p>
          <w:p>
            <w:pPr>
              <w:spacing w:after="40"/>
              <w:jc w:val="both"/>
            </w:pPr>
            <w:r>
              <w:rPr>
                <w:rFonts w:ascii="Roboto" w:hAnsi="Roboto"/>
                <w:sz w:val="22"/>
                <w:szCs w:val="22"/>
              </w:rPr>
              <w:t xml:space="preserve">• Provident Fund</w:t>
            </w:r>
          </w:p>
          <w:p>
            <w:pPr>
              <w:spacing w:after="40"/>
              <w:jc w:val="both"/>
            </w:pPr>
            <w:r>
              <w:rPr>
                <w:rFonts w:ascii="Roboto" w:hAnsi="Roboto"/>
                <w:sz w:val="22"/>
                <w:szCs w:val="22"/>
              </w:rPr>
              <w:t xml:space="preserve">• Employees State Insurance Corporation</w:t>
            </w:r>
          </w:p>
          <w:p>
            <w:pPr>
              <w:spacing w:after="40"/>
              <w:jc w:val="both"/>
            </w:pPr>
            <w:r>
              <w:rPr>
                <w:rFonts w:ascii="Roboto" w:hAnsi="Roboto"/>
                <w:sz w:val="22"/>
                <w:szCs w:val="22"/>
              </w:rPr>
              <w:t xml:space="preserve">• Profession Tax</w:t>
            </w:r>
          </w:p>
          <w:p>
            <w:pPr>
              <w:spacing w:after="40"/>
              <w:jc w:val="both"/>
            </w:pPr>
            <w:r>
              <w:rPr>
                <w:rFonts w:ascii="Roboto" w:hAnsi="Roboto"/>
                <w:sz w:val="22"/>
                <w:szCs w:val="22"/>
              </w:rPr>
              <w:t xml:space="preserve">• Labor Welfare Fund</w:t>
            </w:r>
          </w:p>
          <w:p>
            <w:pPr>
              <w:spacing w:after="40"/>
              <w:jc w:val="both"/>
            </w:pPr>
            <w:r>
              <w:rPr>
                <w:rFonts w:ascii="Roboto" w:hAnsi="Roboto"/>
                <w:sz w:val="22"/>
                <w:szCs w:val="22"/>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Return under:</w:t>
            </w:r>
          </w:p>
          <w:p>
            <w:pPr>
              <w:spacing w:after="40"/>
              <w:jc w:val="both"/>
            </w:pPr>
            <w:r>
              <w:rPr>
                <w:rFonts w:ascii="Roboto" w:hAnsi="Roboto"/>
                <w:sz w:val="22"/>
                <w:szCs w:val="22"/>
              </w:rPr>
              <w:t xml:space="preserve">• Sexual Harassment of Women at Workplace Act, 2013</w:t>
            </w:r>
          </w:p>
          <w:p>
            <w:pPr>
              <w:spacing w:after="40"/>
              <w:jc w:val="both"/>
            </w:pPr>
            <w:r>
              <w:rPr>
                <w:rFonts w:ascii="Roboto" w:hAnsi="Roboto"/>
                <w:sz w:val="22"/>
                <w:szCs w:val="22"/>
              </w:rPr>
              <w:t xml:space="preserve">• Shop and Establishment Act</w:t>
            </w:r>
          </w:p>
          <w:p>
            <w:pPr>
              <w:spacing w:after="40"/>
              <w:jc w:val="both"/>
            </w:pPr>
            <w:r>
              <w:rPr>
                <w:rFonts w:ascii="Roboto" w:hAnsi="Roboto"/>
                <w:sz w:val="22"/>
                <w:szCs w:val="22"/>
              </w:rPr>
              <w:t xml:space="preserve">• Maternity Act</w:t>
            </w:r>
          </w:p>
          <w:p>
            <w:pPr>
              <w:spacing w:after="40"/>
              <w:jc w:val="both"/>
            </w:pPr>
            <w:r>
              <w:rPr>
                <w:rFonts w:ascii="Roboto" w:hAnsi="Roboto"/>
                <w:sz w:val="22"/>
                <w:szCs w:val="22"/>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14,850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500 one time</w:t>
            </w:r>
          </w:p>
        </w:tc>
      </w:tr>
    </w:tbl>
    <w:p>
      <w:pPr>
        <w:spacing w:after="60"/>
      </w:pPr>
    </w:p>
    <w:p>
      <w:pPr>
        <w:spacing w:before="40" w:after="40"/>
      </w:pPr>
      <w:r>
        <w:rPr>
          <w:rFonts w:ascii="Roboto" w:hAnsi="Roboto"/>
          <w:i/>
          <w:sz w:val="20"/>
          <w:szCs w:val="20"/>
        </w:rPr>
        <w:t xml:space="preserve">*The above quotation fee is for approx.20 transactions per month</w:t>
      </w:r>
    </w:p>
    <w:p>
      <w:pPr>
        <w:spacing w:after="40"/>
      </w:pPr>
    </w:p>
    <w:p>
      <w:pPr>
        <w:spacing w:before="40" w:after="4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after="40"/>
      </w:pPr>
    </w:p>
    <w:p>
      <w:pPr>
        <w:spacing w:before="40" w:after="4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2"/>
          <w:szCs w:val="22"/>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18"/>
                <w:szCs w:val="18"/>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Assistance in conducting Functional, Asset and Risk Analysis of the proposed transaction.</w:t>
            </w:r>
          </w:p>
          <w:p>
            <w:pPr>
              <w:spacing w:after="40"/>
              <w:jc w:val="both"/>
            </w:pPr>
            <w:r>
              <w:rPr>
                <w:rFonts w:ascii="Roboto" w:hAnsi="Roboto"/>
                <w:sz w:val="22"/>
                <w:szCs w:val="22"/>
              </w:rPr>
              <w:t xml:space="preserve">2. Assisting in arriving at the arm’s length price or margin range.</w:t>
            </w:r>
          </w:p>
          <w:p>
            <w:pPr>
              <w:spacing w:after="40"/>
              <w:jc w:val="both"/>
            </w:pPr>
            <w:r>
              <w:rPr>
                <w:rFonts w:ascii="Roboto" w:hAnsi="Roboto"/>
                <w:sz w:val="22"/>
                <w:szCs w:val="22"/>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18"/>
                <w:szCs w:val="18"/>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3,000</w:t>
            </w:r>
          </w:p>
        </w:tc>
      </w:tr>
    </w:tbl>
    <w:p>
      <w:pPr>
        <w:spacing w:after="60"/>
      </w:pPr>
    </w:p>
    <w:p>
      <w:pPr>
        <w:spacing w:before="40" w:after="4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