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360" w:lineRule="auto"/>
        <w:rPr>
          <w:rFonts w:ascii="Times New Roman" w:cs="Times New Roman" w:eastAsia="Times New Roman" w:hAnsi="Times New Roman"/>
          <w:b w:val="1"/>
          <w:bCs w:val="1"/>
          <w:sz w:val="28"/>
          <w:szCs w:val="28"/>
        </w:rPr>
      </w:pPr>
      <w:bookmarkStart w:colFirst="0" w:colLast="0" w:name="_4ywzpuipgb66" w:id="0"/>
      <w:bookmarkEnd w:id="0"/>
      <w:r w:rsidDel="00000000" w:rsidR="00000000" w:rsidRPr="00000000">
        <w:rPr>
          <w:rFonts w:ascii="Times New Roman" w:cs="Times New Roman" w:eastAsia="Times New Roman" w:hAnsi="Times New Roman"/>
          <w:b w:val="1"/>
          <w:bCs w:val="1"/>
          <w:sz w:val="28"/>
          <w:szCs w:val="28"/>
          <w:rtl w:val="0"/>
        </w:rPr>
        <w:t xml:space="preserve"> II ) ANALYSIS</w:t>
      </w:r>
    </w:p>
    <w:p w:rsidR="00000000" w:rsidDel="00000000" w:rsidP="00000000" w:rsidRDefault="00000000" w:rsidRPr="00000000" w14:paraId="00000002">
      <w:pPr>
        <w:pStyle w:val="Heading2"/>
        <w:keepNext w:val="0"/>
        <w:keepLines w:val="0"/>
        <w:spacing w:after="80" w:before="160" w:lineRule="auto"/>
        <w:rPr>
          <w:rFonts w:ascii="Times New Roman" w:cs="Times New Roman" w:eastAsia="Times New Roman" w:hAnsi="Times New Roman"/>
          <w:b w:val="1"/>
          <w:bCs w:val="1"/>
          <w:sz w:val="26"/>
          <w:szCs w:val="26"/>
          <w:u w:val="single"/>
        </w:rPr>
      </w:pPr>
      <w:bookmarkStart w:colFirst="0" w:colLast="0" w:name="_406fjjcqqf1h" w:id="1"/>
      <w:bookmarkEnd w:id="1"/>
      <w:r w:rsidDel="00000000" w:rsidR="00000000" w:rsidRPr="00000000">
        <w:rPr>
          <w:rFonts w:ascii="Times New Roman" w:cs="Times New Roman" w:eastAsia="Times New Roman" w:hAnsi="Times New Roman"/>
          <w:b w:val="1"/>
          <w:bCs w:val="1"/>
          <w:sz w:val="26"/>
          <w:szCs w:val="26"/>
          <w:u w:val="single"/>
          <w:rtl w:val="0"/>
        </w:rPr>
        <w:t xml:space="preserve">2. Requirements</w:t>
      </w:r>
    </w:p>
    <w:p w:rsidR="00000000" w:rsidDel="00000000" w:rsidP="00000000" w:rsidRDefault="00000000" w:rsidRPr="00000000" w14:paraId="00000003">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Ceph deployment will serve as the primary and unified storage backend for our new 8-node OpenStack cluster. The goal is to replace multiple separate storage systems with a single, scalable, and highly resilient solution that can handle all major storage needs of the cloud platform.</w:t>
      </w:r>
    </w:p>
    <w:p w:rsidR="00000000" w:rsidDel="00000000" w:rsidP="00000000" w:rsidRDefault="00000000" w:rsidRPr="00000000" w14:paraId="00000004">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Ceph will provide reliable block storage for Cinder (volumes, snapshots, backups, and attachments to virtual machines) and Glance (image storage and management). It will also support ephemeral disks for Nova instances where required. Object storage will be delivered through the RADOS Gateway (RGW) with S3 and Swift compatibility starting from Phase 1. Additionally, we plan to support external enterprise systems by exposing storage through iSCSI gateways for block-level access and NAS-style file sharing using NFS via CephFS where legacy applications need it.</w:t>
      </w:r>
    </w:p>
    <w:p w:rsidR="00000000" w:rsidDel="00000000" w:rsidP="00000000" w:rsidRDefault="00000000" w:rsidRPr="00000000" w14:paraId="00000005">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prioritizes high availability. The cluster must tolerate the failure of any single Ceph node without data loss or significant downtime. This will be achieved primarily through a 3x replication policy across the four Ceph nodes. Automated recovery mechanisms should handle rebalancing and healing of data in the background with minimal impact on running workloads.</w:t>
      </w:r>
    </w:p>
    <w:p w:rsidR="00000000" w:rsidDel="00000000" w:rsidP="00000000" w:rsidRDefault="00000000" w:rsidRPr="00000000" w14:paraId="00000006">
      <w:pPr>
        <w:spacing w:after="240" w:before="240" w:line="273.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Non-Functional Requirements: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High Availability and Resilience: Deploy three Ceph Monitors (MONs) for quorum, multiple Managers (MGRs), and ensure no single point of failure in the control or data path. The system should support graceful node maintenance and automatic failover.</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Performance: Deliver strong IOPS and low latency suitable for production VM workloads. This depends heavily on dedicated high-speed storage </w:t>
      </w:r>
      <w:r w:rsidDel="00000000" w:rsidR="00000000" w:rsidRPr="00000000">
        <w:rPr>
          <w:rFonts w:ascii="Times New Roman" w:cs="Times New Roman" w:eastAsia="Times New Roman" w:hAnsi="Times New Roman"/>
          <w:b w:val="1"/>
          <w:bCs w:val="1"/>
          <w:sz w:val="26"/>
          <w:szCs w:val="26"/>
          <w:rtl w:val="0"/>
        </w:rPr>
        <w:t xml:space="preserve">networks, proper </w:t>
      </w:r>
      <w:r w:rsidDel="00000000" w:rsidR="00000000" w:rsidRPr="00000000">
        <w:rPr>
          <w:rFonts w:ascii="Times New Roman" w:cs="Times New Roman" w:eastAsia="Times New Roman" w:hAnsi="Times New Roman"/>
          <w:sz w:val="24"/>
          <w:szCs w:val="24"/>
          <w:rtl w:val="0"/>
        </w:rPr>
        <w:t xml:space="preserve">tuning of BlueStore backend, appropriate PG (Placement Group) counts, and efficient use of hardware resources.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Scalability: The architecture must allow easy horizontal scaling. We should be able to add more OSDs or even additional storage nodes in the future without disrupting operations or requiring major reconfiguration.</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Security: Enforce strict network isolation for all Ceph traffic, use CephX authentication for all clients, and limit access to iSCSI and NAS gateways. Sensitive data should be protected both in transit and at rest where possible.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Manageability and Observability: The cluster should be easy to monitor, troubleshoot, and maintain. Integration with standard monitoring tools for health checks, capacity alerts, and performance metrics is essential.</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Capacity: Provide sufficient usable storage after replication overhead to support the initial deployment and anticipated growth. The design takes into account the hardware configuration of 16-core nodes with 64 GB and 96 GB RAM across the cluster.</w:t>
      </w:r>
    </w:p>
    <w:p w:rsidR="00000000" w:rsidDel="00000000" w:rsidP="00000000" w:rsidRDefault="00000000" w:rsidRPr="00000000" w14:paraId="0000000D">
      <w:pPr>
        <w:spacing w:after="240" w:before="240" w:line="273.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Infrastructure Needs: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Node Distribution: Ceph services will run on 4 nodes out of the total 8-node cluster. This includes 3 hyper-converged Controller + Ceph nodes and 1 dedicated Ceph node focused on storage capacity. The remaining 4 nodes will act as pure Compute nodes and Ceph clients.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Networking: Full use of the planned 11 networks. Special attention must be given to the Storage Public Network (for client traffic from OpenStack services such as Nova, Cinder, and Glance) and the Storage Cluster Network (for internal OSD replication, heartbeats, and recovery traffic). Dedicated and isolated networks are also required for the Enterprise External Storage through iSCSI and NAS to avoid interference with core cluster operations.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Hardware: All Ceph nodes will have 16 CPU cores. RAM configuration includes 64 GB on some nodes and 96 GB on others. Each Ceph node must have sufficient disks for OSDs, with separate OS boot drives to ensure best performance and reliability. Network interfaces should be configured with bonding for redundancy and higher throughput on storage-related networks.</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Software and Integration: Ceph must integrate smoothly with our chosen OpenStack deployment method. We will use modern best practices such as BlueStore as the OSD backend.</w:t>
      </w:r>
    </w:p>
    <w:p w:rsidR="00000000" w:rsidDel="00000000" w:rsidP="00000000" w:rsidRDefault="00000000" w:rsidRPr="00000000" w14:paraId="00000012">
      <w:pPr>
        <w:spacing w:after="240" w:before="240" w:line="273.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Assumptions and Constraints: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Exact disk types, quantities, and speeds per node will be finalized during procurement.</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The underlying network infrastructure (VLANs, switches, and IP addressing) for all 11 networks must be ready and tested before Ceph deployment.</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Team will have sufficient access and permissions for installation, configuration, and testing.</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