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rFonts w:ascii="Times New Roman" w:cs="Times New Roman" w:eastAsia="Times New Roman" w:hAnsi="Times New Roman"/>
          <w:b w:val="1"/>
          <w:bCs w:val="1"/>
          <w:sz w:val="28"/>
          <w:szCs w:val="28"/>
        </w:rPr>
      </w:pPr>
      <w:bookmarkStart w:colFirst="0" w:colLast="0" w:name="_xgom6yerrf9r" w:id="0"/>
      <w:bookmarkEnd w:id="0"/>
      <w:r w:rsidDel="00000000" w:rsidR="00000000" w:rsidRPr="00000000">
        <w:rPr>
          <w:rFonts w:ascii="Times New Roman" w:cs="Times New Roman" w:eastAsia="Times New Roman" w:hAnsi="Times New Roman"/>
          <w:b w:val="1"/>
          <w:bCs w:val="1"/>
          <w:sz w:val="28"/>
          <w:szCs w:val="28"/>
          <w:rtl w:val="0"/>
        </w:rPr>
        <w:t xml:space="preserve">VII ) OPERATIONS &amp; MAINTENANCE</w:t>
      </w:r>
    </w:p>
    <w:p w:rsidR="00000000" w:rsidDel="00000000" w:rsidP="00000000" w:rsidRDefault="00000000" w:rsidRPr="00000000" w14:paraId="00000002">
      <w:pPr>
        <w:pStyle w:val="Heading2"/>
        <w:keepNext w:val="0"/>
        <w:keepLines w:val="0"/>
        <w:spacing w:after="80" w:before="160" w:lineRule="auto"/>
        <w:rPr>
          <w:rFonts w:ascii="Times New Roman" w:cs="Times New Roman" w:eastAsia="Times New Roman" w:hAnsi="Times New Roman"/>
          <w:b w:val="1"/>
          <w:bCs w:val="1"/>
          <w:sz w:val="24"/>
          <w:szCs w:val="24"/>
          <w:u w:val="single"/>
        </w:rPr>
      </w:pPr>
      <w:bookmarkStart w:colFirst="0" w:colLast="0" w:name="_gvlbq1dz3dz6" w:id="1"/>
      <w:bookmarkEnd w:id="1"/>
      <w:r w:rsidDel="00000000" w:rsidR="00000000" w:rsidRPr="00000000">
        <w:rPr>
          <w:rFonts w:ascii="Times New Roman" w:cs="Times New Roman" w:eastAsia="Times New Roman" w:hAnsi="Times New Roman"/>
          <w:b w:val="1"/>
          <w:bCs w:val="1"/>
          <w:sz w:val="24"/>
          <w:szCs w:val="24"/>
          <w:u w:val="single"/>
          <w:rtl w:val="0"/>
        </w:rPr>
        <w:t xml:space="preserve">9. Monitoring, Logging &amp; Maintenance</w:t>
      </w:r>
    </w:p>
    <w:p w:rsidR="00000000" w:rsidDel="00000000" w:rsidP="00000000" w:rsidRDefault="00000000" w:rsidRPr="00000000" w14:paraId="00000003">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t2y5kzl9usb" w:id="2"/>
      <w:bookmarkEnd w:id="2"/>
      <w:r w:rsidDel="00000000" w:rsidR="00000000" w:rsidRPr="00000000">
        <w:rPr>
          <w:rFonts w:ascii="Times New Roman" w:cs="Times New Roman" w:eastAsia="Times New Roman" w:hAnsi="Times New Roman"/>
          <w:b w:val="1"/>
          <w:bCs w:val="1"/>
          <w:color w:val="000000"/>
          <w:sz w:val="24"/>
          <w:szCs w:val="24"/>
          <w:rtl w:val="0"/>
        </w:rPr>
        <w:t xml:space="preserve">9.1 Overview</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reliable monitoring and maintenance strategy is essential for ensuring the continuous availability and performance of the Ceph storage cluster. Since Ceph serves as the primary storage backend for the OpenStack environment, any storage-related issue can directly impact virtual machines, block storage, image repositories, and object storage services. Continuous monitoring enables administrators to identify hardware failures, performance degradation, and storage capacity issues before they affect production workloads.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monitoring solution combines native Ceph monitoring tools with external visualization and alerting platforms to provide complete visibility into the storage infrastructure. Regular maintenance activities such as health verification, software updates, capacity planning, and hardware replacement ensure that the cluster remains stable and performs efficiently throughout its lifecycle.</w:t>
      </w:r>
    </w:p>
    <w:p w:rsidR="00000000" w:rsidDel="00000000" w:rsidP="00000000" w:rsidRDefault="00000000" w:rsidRPr="00000000" w14:paraId="00000006">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as5tbkw0td" w:id="3"/>
      <w:bookmarkEnd w:id="3"/>
      <w:r w:rsidDel="00000000" w:rsidR="00000000" w:rsidRPr="00000000">
        <w:rPr>
          <w:rFonts w:ascii="Times New Roman" w:cs="Times New Roman" w:eastAsia="Times New Roman" w:hAnsi="Times New Roman"/>
          <w:b w:val="1"/>
          <w:bCs w:val="1"/>
          <w:color w:val="000000"/>
          <w:sz w:val="24"/>
          <w:szCs w:val="24"/>
          <w:rtl w:val="0"/>
        </w:rPr>
        <w:t xml:space="preserve">9.2 Monitoring Tools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monitoring solution utilizes both native Ceph components and external monitoring tools.</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30"/>
        <w:gridCol w:w="6150"/>
        <w:tblGridChange w:id="0">
          <w:tblGrid>
            <w:gridCol w:w="2730"/>
            <w:gridCol w:w="615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Ceph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web-based graphical interface for monitoring cluster health, storage utilization, OSD status, storage pools, performance metrics, and overall cluster activity.</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Ceph Manager (MGR)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cluster statistics, manages monitoring modules, and provides data required for the Ceph Dashboard, Prometheus integration, and other management services.</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Prometheus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and stores time-series metrics from the Ceph cluster, enabling continuous monitoring of cluster health, resource utilization, performance, and operational statistics.</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Grafana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metrics collected by Prometheus through interactive dashboards, displaying storage utilization, IOPS, throughput, latency, CPU, memory, and network performance.</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Alertmanager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alerts from Prometheus and sends notifications through email, Slack, or other supported channels when predefined thresholds or critical events are triggered, enabling rapid response to storage issues.</w:t>
            </w:r>
          </w:p>
        </w:tc>
      </w:tr>
    </w:tbl>
    <w:p w:rsidR="00000000" w:rsidDel="00000000" w:rsidP="00000000" w:rsidRDefault="00000000" w:rsidRPr="00000000" w14:paraId="0000001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5">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jb2d0pyzl1vw" w:id="4"/>
      <w:bookmarkEnd w:id="4"/>
      <w:r w:rsidDel="00000000" w:rsidR="00000000" w:rsidRPr="00000000">
        <w:rPr>
          <w:rFonts w:ascii="Times New Roman" w:cs="Times New Roman" w:eastAsia="Times New Roman" w:hAnsi="Times New Roman"/>
          <w:b w:val="1"/>
          <w:bCs w:val="1"/>
          <w:color w:val="000000"/>
          <w:sz w:val="24"/>
          <w:szCs w:val="24"/>
          <w:rtl w:val="0"/>
        </w:rPr>
        <w:t xml:space="preserve">9.3 Cluster Health Monitoring</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health should be monitored continuously to ensure normal operation. Ceph provides three primary health states:</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6330"/>
        <w:tblGridChange w:id="0">
          <w:tblGrid>
            <w:gridCol w:w="2550"/>
            <w:gridCol w:w="633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Status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HEALTH_OK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services are operating normally.</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HEALTH_WARN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Non-critical issues are present, but storage services remain available.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HEALTH_ERR</w:t>
              <w:tab/>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issues requiring immediate administrator intervention.</w:t>
            </w:r>
          </w:p>
        </w:tc>
      </w:tr>
    </w:tbl>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components should be monitored regularly:</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Monitor (MON) quorum status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Manager (MGR) availability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OSD health and availability</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Placement Group (PG) status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Storage pool utilization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Recovery and rebalancing operations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Cluster capacity and disk usage</w:t>
      </w:r>
    </w:p>
    <w:p w:rsidR="00000000" w:rsidDel="00000000" w:rsidP="00000000" w:rsidRDefault="00000000" w:rsidRPr="00000000" w14:paraId="00000028">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pwkra1i7qd5g" w:id="5"/>
      <w:bookmarkEnd w:id="5"/>
      <w:r w:rsidDel="00000000" w:rsidR="00000000" w:rsidRPr="00000000">
        <w:rPr>
          <w:rFonts w:ascii="Times New Roman" w:cs="Times New Roman" w:eastAsia="Times New Roman" w:hAnsi="Times New Roman"/>
          <w:b w:val="1"/>
          <w:bCs w:val="1"/>
          <w:color w:val="000000"/>
          <w:sz w:val="24"/>
          <w:szCs w:val="24"/>
          <w:rtl w:val="0"/>
        </w:rPr>
        <w:t xml:space="preserve">9.4 Logging</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 generates detailed logs for each major service, allowing administrators to diagnose issues and maintain audit records.</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5895"/>
        <w:tblGridChange w:id="0">
          <w:tblGrid>
            <w:gridCol w:w="2985"/>
            <w:gridCol w:w="58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Source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 Logs(Manager)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quorum, leader elections, cluster map changes, and health events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MGR Logs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operations, dashboard activity, orchestration tasks, and alerting</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OSD Logs(Object Storage Daemon)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 operations, replication, recovery, backfill, scrubbing, and hardware/disk errors</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RGW Logs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(RADOS Gateway)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storage requests, S3/Swift API calls, authentication, and gateway performance</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Logs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OS-level events, hardware issues, network problems, and service startup/shutdown</w:t>
            </w:r>
          </w:p>
        </w:tc>
      </w:tr>
    </w:tbl>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log analysis helps identify recurring issues and supports faster troubleshooting.</w:t>
      </w:r>
    </w:p>
    <w:p w:rsidR="00000000" w:rsidDel="00000000" w:rsidP="00000000" w:rsidRDefault="00000000" w:rsidRPr="00000000" w14:paraId="00000039">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7hs7xjmbqmcw" w:id="6"/>
      <w:bookmarkEnd w:id="6"/>
      <w:r w:rsidDel="00000000" w:rsidR="00000000" w:rsidRPr="00000000">
        <w:rPr>
          <w:rFonts w:ascii="Times New Roman" w:cs="Times New Roman" w:eastAsia="Times New Roman" w:hAnsi="Times New Roman"/>
          <w:b w:val="1"/>
          <w:bCs w:val="1"/>
          <w:color w:val="000000"/>
          <w:sz w:val="24"/>
          <w:szCs w:val="24"/>
          <w:rtl w:val="0"/>
        </w:rPr>
        <w:t xml:space="preserve">9.5 Routine Maintenance</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maintenance helps maintain cluster performance and prevents unexpected failures.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maintenance activities include:</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Verify overall cluster health.</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Replace failed OSD disks promptly.</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Perform regular data scrubbing and deep scrubbing.</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Monitor storage utilization and plan capacity expansion.</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Apply software updates and security patches during maintenance windows.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Verify replication status after hardware changes.</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 Review cluster logs and resolve warning messages.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activities help ensure the cluster remains reliable and continues meeting application requirements.</w:t>
      </w:r>
    </w:p>
    <w:p w:rsidR="00000000" w:rsidDel="00000000" w:rsidP="00000000" w:rsidRDefault="00000000" w:rsidRPr="00000000" w14:paraId="00000044">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jbgqwqmrbl0p" w:id="7"/>
      <w:bookmarkEnd w:id="7"/>
      <w:r w:rsidDel="00000000" w:rsidR="00000000" w:rsidRPr="00000000">
        <w:rPr>
          <w:rFonts w:ascii="Times New Roman" w:cs="Times New Roman" w:eastAsia="Times New Roman" w:hAnsi="Times New Roman"/>
          <w:b w:val="1"/>
          <w:bCs w:val="1"/>
          <w:color w:val="000000"/>
          <w:sz w:val="24"/>
          <w:szCs w:val="24"/>
          <w:rtl w:val="0"/>
        </w:rPr>
        <w:t xml:space="preserve">9.6 Best Practices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maximize reliability and performance, the following best practices should be followed throughout the operational lifecycle:</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Maintain dedicated storage networks for client and replication traffic.</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Monitor cluster health daily using the Ceph Dashboard.</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Configure alerts for hardware failures and capacity thresholds.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Replace failed disks immediately to restore full replication.</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Perform periodic backup verification and recovery testing.</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Keep all Ceph nodes running supported software versions.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Document maintenance activities and configuration changes.</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Plan storage expansion before utilization reaches critical levels.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these practices improves storage availability, simplifies administration, and ensures that the Ceph cluster continues to provide reliable storage services for the OpenStack environment.</w:t>
      </w:r>
    </w:p>
    <w:p w:rsidR="00000000" w:rsidDel="00000000" w:rsidP="00000000" w:rsidRDefault="00000000" w:rsidRPr="00000000" w14:paraId="0000004F">
      <w:pPr>
        <w:pStyle w:val="Heading2"/>
        <w:keepNext w:val="0"/>
        <w:keepLines w:val="0"/>
        <w:spacing w:after="80" w:before="160" w:lineRule="auto"/>
        <w:rPr>
          <w:rFonts w:ascii="Times New Roman" w:cs="Times New Roman" w:eastAsia="Times New Roman" w:hAnsi="Times New Roman"/>
          <w:b w:val="1"/>
          <w:bCs w:val="1"/>
          <w:sz w:val="24"/>
          <w:szCs w:val="24"/>
          <w:u w:val="single"/>
        </w:rPr>
      </w:pPr>
      <w:bookmarkStart w:colFirst="0" w:colLast="0" w:name="_ya6osd8ppywn" w:id="8"/>
      <w:bookmarkEnd w:id="8"/>
      <w:r w:rsidDel="00000000" w:rsidR="00000000" w:rsidRPr="00000000">
        <w:rPr>
          <w:rFonts w:ascii="Times New Roman" w:cs="Times New Roman" w:eastAsia="Times New Roman" w:hAnsi="Times New Roman"/>
          <w:b w:val="1"/>
          <w:bCs w:val="1"/>
          <w:sz w:val="24"/>
          <w:szCs w:val="24"/>
          <w:u w:val="single"/>
          <w:rtl w:val="0"/>
        </w:rPr>
        <w:t xml:space="preserve">10. Risks &amp; Mitigations</w:t>
      </w:r>
    </w:p>
    <w:p w:rsidR="00000000" w:rsidDel="00000000" w:rsidP="00000000" w:rsidRDefault="00000000" w:rsidRPr="00000000" w14:paraId="00000050">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9wm3nqgyw2bu" w:id="9"/>
      <w:bookmarkEnd w:id="9"/>
      <w:r w:rsidDel="00000000" w:rsidR="00000000" w:rsidRPr="00000000">
        <w:rPr>
          <w:rFonts w:ascii="Times New Roman" w:cs="Times New Roman" w:eastAsia="Times New Roman" w:hAnsi="Times New Roman"/>
          <w:b w:val="1"/>
          <w:bCs w:val="1"/>
          <w:color w:val="000000"/>
          <w:sz w:val="24"/>
          <w:szCs w:val="24"/>
          <w:rtl w:val="0"/>
        </w:rPr>
        <w:t xml:space="preserve">10.1 Overview</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enterprise storage deployment involves operational and technical risks that can impact system availability, performance, and data integrity. During the design phase, these risks should be identified and appropriate mitigation strategies should be incorporated into the architecture. Since Ceph serves as the primary storage backend for the OpenStack environment, maintaining storage reliability is essential for ensuring uninterrupted operation of virtual machines, block storage, image repositories, and object storage services.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design incorporates several mechanisms such as distributed storage, three-way replication, host-level CRUSH placement, dedicated storage networks, and continuous monitoring to reduce the impact of hardware failures and operational issues.</w:t>
      </w:r>
    </w:p>
    <w:p w:rsidR="00000000" w:rsidDel="00000000" w:rsidP="00000000" w:rsidRDefault="00000000" w:rsidRPr="00000000" w14:paraId="00000053">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13n1z1bhgzu2" w:id="10"/>
      <w:bookmarkEnd w:id="10"/>
      <w:r w:rsidDel="00000000" w:rsidR="00000000" w:rsidRPr="00000000">
        <w:rPr>
          <w:rFonts w:ascii="Times New Roman" w:cs="Times New Roman" w:eastAsia="Times New Roman" w:hAnsi="Times New Roman"/>
          <w:b w:val="1"/>
          <w:bCs w:val="1"/>
          <w:color w:val="000000"/>
          <w:sz w:val="24"/>
          <w:szCs w:val="24"/>
          <w:rtl w:val="0"/>
        </w:rPr>
        <w:t xml:space="preserve">10.2 Risk Assessment</w:t>
      </w:r>
    </w:p>
    <w:tbl>
      <w:tblPr>
        <w:tblStyle w:val="Table4"/>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1320"/>
        <w:gridCol w:w="4965"/>
        <w:tblGridChange w:id="0">
          <w:tblGrid>
            <w:gridCol w:w="2610"/>
            <w:gridCol w:w="1320"/>
            <w:gridCol w:w="496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OSD Disk Failure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Three-way replication automatically restores lost replicas and rebuilds data after disk replacement.</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 Node Failure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remains available through replication across multiple storage nodes using the host-level CRUSH failure domain.</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 (MON) Failure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Monitor daemons maintain quorum, allowing cluster operations to continue after a single Monitor failure.</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 (MGR) Failure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Manager automatically assumes the active role with minimal impact on cluster management services.</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Failure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Storage Public and Storage Cluster networks reduce congestion and isolate storage traffic.</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 Capacity Exhaustion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capacity monitoring and timely expansion of OSDs or storage nodes.</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Resource Contention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and Ceph services are sized appropriately, while compute workloads are isolated on dedicated compute nodes.</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Error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backups, RBD snapshots, change management procedures, and configuration documentation.</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e8eiawx7xa9s" w:id="11"/>
      <w:bookmarkEnd w:id="11"/>
      <w:r w:rsidDel="00000000" w:rsidR="00000000" w:rsidRPr="00000000">
        <w:rPr>
          <w:rFonts w:ascii="Times New Roman" w:cs="Times New Roman" w:eastAsia="Times New Roman" w:hAnsi="Times New Roman"/>
          <w:b w:val="1"/>
          <w:bCs w:val="1"/>
          <w:color w:val="000000"/>
          <w:sz w:val="24"/>
          <w:szCs w:val="24"/>
          <w:rtl w:val="0"/>
        </w:rPr>
        <w:t xml:space="preserve">10.3 Operational Risks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hardware failures, operational risks such as configuration errors, software upgrades, or accidental data deletion can affect storage availability. To reduce these risks, administrative activities should follow documented procedures and be performed during scheduled maintenance windows.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changes should be validated before deployment, and backups of cluster configuration should be maintained to simplify recovery if unexpected issues occur.</w:t>
      </w:r>
    </w:p>
    <w:p w:rsidR="00000000" w:rsidDel="00000000" w:rsidP="00000000" w:rsidRDefault="00000000" w:rsidRPr="00000000" w14:paraId="00000073">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q3ygyys92ydd" w:id="12"/>
      <w:bookmarkEnd w:id="12"/>
      <w:r w:rsidDel="00000000" w:rsidR="00000000" w:rsidRPr="00000000">
        <w:rPr>
          <w:rFonts w:ascii="Times New Roman" w:cs="Times New Roman" w:eastAsia="Times New Roman" w:hAnsi="Times New Roman"/>
          <w:b w:val="1"/>
          <w:bCs w:val="1"/>
          <w:color w:val="000000"/>
          <w:sz w:val="24"/>
          <w:szCs w:val="24"/>
          <w:rtl w:val="0"/>
        </w:rPr>
        <w:t xml:space="preserve">10.4 Scalability Risks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storage utilization increases, insufficient capacity may affect both performance and availability. The proposed Ceph architecture supports horizontal scaling by allowing additional OSD disks or storage nodes to be added without redesigning the cluster.</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capacity planning and utilization monitoring should be performed to ensure storage resources remain available for future OpenStack workloads.</w:t>
      </w:r>
    </w:p>
    <w:p w:rsidR="00000000" w:rsidDel="00000000" w:rsidP="00000000" w:rsidRDefault="00000000" w:rsidRPr="00000000" w14:paraId="00000076">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z26y947ij8iu" w:id="13"/>
      <w:bookmarkEnd w:id="13"/>
      <w:r w:rsidDel="00000000" w:rsidR="00000000" w:rsidRPr="00000000">
        <w:rPr>
          <w:rFonts w:ascii="Times New Roman" w:cs="Times New Roman" w:eastAsia="Times New Roman" w:hAnsi="Times New Roman"/>
          <w:b w:val="1"/>
          <w:bCs w:val="1"/>
          <w:color w:val="000000"/>
          <w:sz w:val="24"/>
          <w:szCs w:val="24"/>
          <w:rtl w:val="0"/>
        </w:rPr>
        <w:t xml:space="preserve">10.5 Security Risks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the storage infrastructure may expose sensitive application data or disrupt storage services. The proposed design addresses these risks by implementing network isolation, CephX authentication, role-based administrative access, and restricted communication between storage services.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storage networks further reduce exposure by separating storage traffic from management and tenant networks.</w:t>
      </w:r>
    </w:p>
    <w:p w:rsidR="00000000" w:rsidDel="00000000" w:rsidP="00000000" w:rsidRDefault="00000000" w:rsidRPr="00000000" w14:paraId="00000079">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csmakcnbnk5w" w:id="14"/>
      <w:bookmarkEnd w:id="14"/>
      <w:r w:rsidDel="00000000" w:rsidR="00000000" w:rsidRPr="00000000">
        <w:rPr>
          <w:rFonts w:ascii="Times New Roman" w:cs="Times New Roman" w:eastAsia="Times New Roman" w:hAnsi="Times New Roman"/>
          <w:b w:val="1"/>
          <w:bCs w:val="1"/>
          <w:color w:val="000000"/>
          <w:sz w:val="24"/>
          <w:szCs w:val="24"/>
          <w:rtl w:val="0"/>
        </w:rPr>
        <w:t xml:space="preserve">10.6 Risk Mitigation Summary</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storage architecture minimizes operational risk through distributed storage, data replication, automated recovery, dedicated networking, and proactive monitoring. Although no infrastructure can completely eliminate risk, the combination of high availability mechanisms, fault-tolerant storage design, and operational best practices significantly improves the reliability and resilience of the OpenStack storage platform.</w:t>
      </w:r>
    </w:p>
    <w:p w:rsidR="00000000" w:rsidDel="00000000" w:rsidP="00000000" w:rsidRDefault="00000000" w:rsidRPr="00000000" w14:paraId="0000007B">
      <w:pPr>
        <w:spacing w:after="200" w:lineRule="auto"/>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